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E6" w:rsidRPr="00894739" w:rsidRDefault="00161CB4">
      <w:pPr>
        <w:rPr>
          <w:rFonts w:ascii="Times New Roman" w:hAnsi="Times New Roman" w:cs="Times New Roman"/>
          <w:b/>
          <w:sz w:val="28"/>
          <w:szCs w:val="28"/>
          <w:lang w:val="en-US"/>
        </w:rPr>
      </w:pPr>
      <w:r w:rsidRPr="00894739">
        <w:rPr>
          <w:sz w:val="28"/>
          <w:szCs w:val="28"/>
          <w:lang w:val="en-US"/>
        </w:rPr>
        <w:t xml:space="preserve">                </w:t>
      </w:r>
      <w:r w:rsidRPr="00894739">
        <w:rPr>
          <w:rFonts w:ascii="Times New Roman" w:hAnsi="Times New Roman" w:cs="Times New Roman"/>
          <w:b/>
          <w:sz w:val="28"/>
          <w:szCs w:val="28"/>
          <w:lang w:val="en-US"/>
        </w:rPr>
        <w:t xml:space="preserve">The relationship between economic growth and bank lending : case of Tunisia </w:t>
      </w:r>
    </w:p>
    <w:p w:rsidR="00161CB4" w:rsidRPr="00894739" w:rsidRDefault="00161CB4">
      <w:pPr>
        <w:rPr>
          <w:rFonts w:ascii="Times New Roman" w:hAnsi="Times New Roman" w:cs="Times New Roman"/>
          <w:b/>
          <w:sz w:val="28"/>
          <w:szCs w:val="28"/>
          <w:lang w:val="en-US"/>
        </w:rPr>
      </w:pPr>
      <w:r w:rsidRPr="00894739">
        <w:rPr>
          <w:rFonts w:ascii="Times New Roman" w:hAnsi="Times New Roman" w:cs="Times New Roman"/>
          <w:b/>
          <w:sz w:val="28"/>
          <w:szCs w:val="28"/>
          <w:lang w:val="en-US"/>
        </w:rPr>
        <w:t xml:space="preserve">                                          Mohamed Aymen Ben Moussa </w:t>
      </w:r>
    </w:p>
    <w:p w:rsidR="00161CB4" w:rsidRPr="00894739" w:rsidRDefault="00161CB4">
      <w:pPr>
        <w:rPr>
          <w:rFonts w:ascii="Times New Roman" w:hAnsi="Times New Roman" w:cs="Times New Roman"/>
          <w:b/>
          <w:sz w:val="28"/>
          <w:szCs w:val="28"/>
          <w:lang w:val="en-US"/>
        </w:rPr>
      </w:pPr>
      <w:r w:rsidRPr="00894739">
        <w:rPr>
          <w:rFonts w:ascii="Times New Roman" w:hAnsi="Times New Roman" w:cs="Times New Roman"/>
          <w:b/>
          <w:sz w:val="28"/>
          <w:szCs w:val="28"/>
          <w:lang w:val="en-US"/>
        </w:rPr>
        <w:t xml:space="preserve">                                                 Zohra Hdidar </w:t>
      </w:r>
    </w:p>
    <w:p w:rsidR="00161CB4" w:rsidRPr="00894739" w:rsidRDefault="00894739">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0D0856">
        <w:rPr>
          <w:rFonts w:ascii="Times New Roman" w:hAnsi="Times New Roman" w:cs="Times New Roman"/>
          <w:b/>
          <w:sz w:val="28"/>
          <w:szCs w:val="28"/>
          <w:lang w:val="en-US"/>
        </w:rPr>
        <w:t>April</w:t>
      </w:r>
      <w:r w:rsidRPr="00894739">
        <w:rPr>
          <w:rFonts w:ascii="Times New Roman" w:hAnsi="Times New Roman" w:cs="Times New Roman"/>
          <w:b/>
          <w:sz w:val="28"/>
          <w:szCs w:val="28"/>
          <w:lang w:val="en-US"/>
        </w:rPr>
        <w:t xml:space="preserve"> 2023</w:t>
      </w:r>
    </w:p>
    <w:p w:rsidR="00894739" w:rsidRPr="00894739" w:rsidRDefault="00894739" w:rsidP="00894739">
      <w:pPr>
        <w:pStyle w:val="Paragraphedeliste"/>
        <w:numPr>
          <w:ilvl w:val="0"/>
          <w:numId w:val="1"/>
        </w:numPr>
        <w:rPr>
          <w:b/>
          <w:sz w:val="24"/>
          <w:szCs w:val="24"/>
          <w:lang w:val="en-US"/>
        </w:rPr>
      </w:pPr>
      <w:r w:rsidRPr="00894739">
        <w:rPr>
          <w:b/>
          <w:sz w:val="24"/>
          <w:szCs w:val="24"/>
          <w:lang w:val="en-US"/>
        </w:rPr>
        <w:t xml:space="preserve">Doctor in finance ; faculty of economic sciences and management of Tunis , University el Manar </w:t>
      </w:r>
    </w:p>
    <w:p w:rsidR="00894739" w:rsidRPr="00894739" w:rsidRDefault="00894739" w:rsidP="00894739">
      <w:pPr>
        <w:pStyle w:val="Paragraphedeliste"/>
        <w:numPr>
          <w:ilvl w:val="0"/>
          <w:numId w:val="1"/>
        </w:numPr>
        <w:rPr>
          <w:b/>
          <w:sz w:val="24"/>
          <w:szCs w:val="24"/>
          <w:lang w:val="en-US"/>
        </w:rPr>
      </w:pPr>
      <w:r w:rsidRPr="00894739">
        <w:rPr>
          <w:b/>
          <w:sz w:val="24"/>
          <w:szCs w:val="24"/>
          <w:lang w:val="en-US"/>
        </w:rPr>
        <w:t>Doctor in Economics ; faculty of economic sciences and management of Sfax ; University of Sfax</w:t>
      </w:r>
    </w:p>
    <w:p w:rsidR="00161CB4" w:rsidRDefault="00161CB4">
      <w:pPr>
        <w:rPr>
          <w:lang w:val="en-US"/>
        </w:rPr>
      </w:pPr>
    </w:p>
    <w:p w:rsidR="00161CB4" w:rsidRDefault="00161CB4">
      <w:pPr>
        <w:rPr>
          <w:b/>
          <w:sz w:val="28"/>
          <w:szCs w:val="28"/>
          <w:lang w:val="en-US"/>
        </w:rPr>
      </w:pPr>
      <w:r w:rsidRPr="00894739">
        <w:rPr>
          <w:b/>
          <w:sz w:val="28"/>
          <w:szCs w:val="28"/>
          <w:lang w:val="en-US"/>
        </w:rPr>
        <w:t xml:space="preserve">                                                       Abstract</w:t>
      </w:r>
    </w:p>
    <w:p w:rsidR="00894739" w:rsidRPr="00894739" w:rsidRDefault="00894739" w:rsidP="00F83E0B">
      <w:pPr>
        <w:jc w:val="both"/>
        <w:rPr>
          <w:b/>
          <w:sz w:val="24"/>
          <w:szCs w:val="24"/>
          <w:lang w:val="en-US"/>
        </w:rPr>
      </w:pPr>
      <w:r>
        <w:rPr>
          <w:b/>
          <w:sz w:val="28"/>
          <w:szCs w:val="28"/>
          <w:lang w:val="en-US"/>
        </w:rPr>
        <w:t xml:space="preserve">     </w:t>
      </w:r>
      <w:r w:rsidRPr="00894739">
        <w:rPr>
          <w:b/>
          <w:sz w:val="24"/>
          <w:szCs w:val="24"/>
          <w:lang w:val="en-US"/>
        </w:rPr>
        <w:t xml:space="preserve">The economic growth and bank lending are important in banking industry. The economic growth has a positive effect on </w:t>
      </w:r>
      <w:r w:rsidR="00F83E0B" w:rsidRPr="00894739">
        <w:rPr>
          <w:b/>
          <w:sz w:val="24"/>
          <w:szCs w:val="24"/>
          <w:lang w:val="en-US"/>
        </w:rPr>
        <w:t>revenues</w:t>
      </w:r>
      <w:r w:rsidRPr="00894739">
        <w:rPr>
          <w:b/>
          <w:sz w:val="24"/>
          <w:szCs w:val="24"/>
          <w:lang w:val="en-US"/>
        </w:rPr>
        <w:t xml:space="preserve"> of bank and attract a new customers . The purpose of this article is to study the relationship between this two variables. We used a sample of 11 banks in Tunisia over the period (2005..2020) . By applying a method of panel static we found that economic growth has a positive impact on bank lending .</w:t>
      </w:r>
    </w:p>
    <w:p w:rsidR="00894739" w:rsidRPr="00894739" w:rsidRDefault="00894739" w:rsidP="00894739">
      <w:pPr>
        <w:rPr>
          <w:b/>
          <w:sz w:val="24"/>
          <w:szCs w:val="24"/>
          <w:lang w:val="en-US"/>
        </w:rPr>
      </w:pPr>
      <w:r w:rsidRPr="00894739">
        <w:rPr>
          <w:b/>
          <w:sz w:val="24"/>
          <w:szCs w:val="24"/>
          <w:lang w:val="en-US"/>
        </w:rPr>
        <w:t xml:space="preserve">Key words :  Bank    Panel    Economic growth    lending  </w:t>
      </w:r>
    </w:p>
    <w:p w:rsidR="00894739" w:rsidRDefault="00894739" w:rsidP="00894739">
      <w:pPr>
        <w:rPr>
          <w:lang w:val="en-US"/>
        </w:rPr>
      </w:pPr>
    </w:p>
    <w:p w:rsidR="00894739" w:rsidRDefault="00894739" w:rsidP="00894739">
      <w:pPr>
        <w:rPr>
          <w:lang w:val="en-US"/>
        </w:rPr>
      </w:pPr>
    </w:p>
    <w:p w:rsidR="00894739" w:rsidRPr="000956CF" w:rsidRDefault="00894739" w:rsidP="00894739">
      <w:pPr>
        <w:rPr>
          <w:b/>
          <w:sz w:val="28"/>
          <w:szCs w:val="28"/>
          <w:lang w:val="en-US"/>
        </w:rPr>
      </w:pPr>
      <w:r>
        <w:rPr>
          <w:b/>
          <w:sz w:val="28"/>
          <w:szCs w:val="28"/>
          <w:lang w:val="en-US"/>
        </w:rPr>
        <w:t>1-</w:t>
      </w:r>
      <w:r w:rsidRPr="000956CF">
        <w:rPr>
          <w:b/>
          <w:sz w:val="28"/>
          <w:szCs w:val="28"/>
          <w:lang w:val="en-US"/>
        </w:rPr>
        <w:t xml:space="preserve">Introduction </w:t>
      </w:r>
    </w:p>
    <w:p w:rsidR="00894739" w:rsidRPr="000956CF" w:rsidRDefault="00894739" w:rsidP="00894739">
      <w:pPr>
        <w:rPr>
          <w:rFonts w:ascii="Times New Roman" w:hAnsi="Times New Roman" w:cs="Times New Roman"/>
          <w:sz w:val="24"/>
          <w:szCs w:val="24"/>
          <w:lang w:val="en-US"/>
        </w:rPr>
      </w:pPr>
      <w:r w:rsidRPr="000956CF">
        <w:rPr>
          <w:rFonts w:ascii="Times New Roman" w:hAnsi="Times New Roman" w:cs="Times New Roman"/>
          <w:sz w:val="24"/>
          <w:szCs w:val="24"/>
          <w:lang w:val="en-US"/>
        </w:rPr>
        <w:t xml:space="preserve">The economic growth and bank lending are important in financial development . </w:t>
      </w:r>
    </w:p>
    <w:p w:rsidR="00F83E0B" w:rsidRDefault="00894739" w:rsidP="00894739">
      <w:pPr>
        <w:spacing w:line="360" w:lineRule="auto"/>
        <w:rPr>
          <w:rFonts w:ascii="Times New Roman" w:hAnsi="Times New Roman" w:cs="Times New Roman"/>
          <w:sz w:val="24"/>
          <w:szCs w:val="24"/>
          <w:shd w:val="clear" w:color="auto" w:fill="FFFFFF"/>
          <w:lang w:val="en-US"/>
        </w:rPr>
      </w:pPr>
      <w:r w:rsidRPr="000956CF">
        <w:rPr>
          <w:rFonts w:ascii="Times New Roman" w:hAnsi="Times New Roman" w:cs="Times New Roman"/>
          <w:sz w:val="24"/>
          <w:szCs w:val="24"/>
          <w:shd w:val="clear" w:color="auto" w:fill="FFFFFF"/>
          <w:lang w:val="en-US"/>
        </w:rPr>
        <w:t>However, very recently, </w:t>
      </w:r>
      <w:hyperlink r:id="rId8" w:anchor="ref030" w:history="1">
        <w:r w:rsidRPr="000956CF">
          <w:rPr>
            <w:rStyle w:val="Lienhypertexte"/>
            <w:rFonts w:ascii="Times New Roman" w:hAnsi="Times New Roman" w:cs="Times New Roman"/>
            <w:color w:val="007377"/>
            <w:sz w:val="24"/>
            <w:szCs w:val="24"/>
            <w:u w:val="none"/>
            <w:shd w:val="clear" w:color="auto" w:fill="FFFFFF"/>
            <w:lang w:val="en-US"/>
          </w:rPr>
          <w:t>Saci </w:t>
        </w:r>
        <w:r w:rsidRPr="000956CF">
          <w:rPr>
            <w:rStyle w:val="Accentuation"/>
            <w:rFonts w:ascii="Times New Roman" w:hAnsi="Times New Roman" w:cs="Times New Roman"/>
            <w:color w:val="007377"/>
            <w:sz w:val="24"/>
            <w:szCs w:val="24"/>
            <w:shd w:val="clear" w:color="auto" w:fill="FFFFFF"/>
            <w:lang w:val="en-US"/>
          </w:rPr>
          <w:t>et al.</w:t>
        </w:r>
        <w:r w:rsidRPr="000956CF">
          <w:rPr>
            <w:rStyle w:val="Lienhypertexte"/>
            <w:rFonts w:ascii="Times New Roman" w:hAnsi="Times New Roman" w:cs="Times New Roman"/>
            <w:color w:val="007377"/>
            <w:sz w:val="24"/>
            <w:szCs w:val="24"/>
            <w:u w:val="none"/>
            <w:shd w:val="clear" w:color="auto" w:fill="FFFFFF"/>
            <w:lang w:val="en-US"/>
          </w:rPr>
          <w:t> (2009)</w:t>
        </w:r>
      </w:hyperlink>
      <w:r w:rsidRPr="000956CF">
        <w:rPr>
          <w:rFonts w:ascii="Times New Roman" w:hAnsi="Times New Roman" w:cs="Times New Roman"/>
          <w:sz w:val="24"/>
          <w:szCs w:val="24"/>
          <w:shd w:val="clear" w:color="auto" w:fill="FFFFFF"/>
          <w:lang w:val="en-US"/>
        </w:rPr>
        <w:t> using indicators of development in banking sector and stock market found that stock market development indicators have positive significant effect on growth. However, it was found that in the presence of stock market development indicators, banking sector development negatively influenced economic growth. Recently, </w:t>
      </w:r>
      <w:hyperlink r:id="rId9" w:anchor="ref020" w:history="1">
        <w:r w:rsidRPr="000956CF">
          <w:rPr>
            <w:rStyle w:val="Lienhypertexte"/>
            <w:rFonts w:ascii="Times New Roman" w:hAnsi="Times New Roman" w:cs="Times New Roman"/>
            <w:color w:val="007377"/>
            <w:sz w:val="24"/>
            <w:szCs w:val="24"/>
            <w:u w:val="none"/>
            <w:shd w:val="clear" w:color="auto" w:fill="FFFFFF"/>
            <w:lang w:val="en-US"/>
          </w:rPr>
          <w:t>Leitao (2010)</w:t>
        </w:r>
      </w:hyperlink>
      <w:r w:rsidRPr="000956CF">
        <w:rPr>
          <w:rFonts w:ascii="Times New Roman" w:hAnsi="Times New Roman" w:cs="Times New Roman"/>
          <w:sz w:val="24"/>
          <w:szCs w:val="24"/>
          <w:shd w:val="clear" w:color="auto" w:fill="FFFFFF"/>
          <w:lang w:val="en-US"/>
        </w:rPr>
        <w:t> found a positive correlation of financial development with economic growth for 27 European Union Countries and five BRICS countries between 1980 and 2006. Again, </w:t>
      </w:r>
      <w:hyperlink r:id="rId10" w:anchor="ref001" w:history="1">
        <w:r w:rsidRPr="000956CF">
          <w:rPr>
            <w:rStyle w:val="Lienhypertexte"/>
            <w:rFonts w:ascii="Times New Roman" w:hAnsi="Times New Roman" w:cs="Times New Roman"/>
            <w:color w:val="007377"/>
            <w:sz w:val="24"/>
            <w:szCs w:val="24"/>
            <w:u w:val="none"/>
            <w:shd w:val="clear" w:color="auto" w:fill="FFFFFF"/>
            <w:lang w:val="en-US"/>
          </w:rPr>
          <w:t>Adusei (2013)</w:t>
        </w:r>
      </w:hyperlink>
      <w:r w:rsidRPr="000956CF">
        <w:rPr>
          <w:rFonts w:ascii="Times New Roman" w:hAnsi="Times New Roman" w:cs="Times New Roman"/>
          <w:sz w:val="24"/>
          <w:szCs w:val="24"/>
          <w:shd w:val="clear" w:color="auto" w:fill="FFFFFF"/>
          <w:lang w:val="en-US"/>
        </w:rPr>
        <w:t xml:space="preserve"> using dynamic GMM model for 24 selected African countries over the period 1981-2010 found a positive relationship between financial development and economic growth. </w:t>
      </w:r>
    </w:p>
    <w:p w:rsidR="00894739" w:rsidRDefault="00F83E0B" w:rsidP="00894739">
      <w:pPr>
        <w:spacing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    </w:t>
      </w:r>
      <w:r w:rsidR="00894739" w:rsidRPr="000956CF">
        <w:rPr>
          <w:rFonts w:ascii="Times New Roman" w:hAnsi="Times New Roman" w:cs="Times New Roman"/>
          <w:sz w:val="24"/>
          <w:szCs w:val="24"/>
          <w:shd w:val="clear" w:color="auto" w:fill="FFFFFF"/>
          <w:lang w:val="en-US"/>
        </w:rPr>
        <w:t>Further, using pairwise granger causality testing, they supported the evidence of bidirectional causality between financial development and economic growth.</w:t>
      </w:r>
    </w:p>
    <w:p w:rsidR="00894739" w:rsidRPr="000956CF" w:rsidRDefault="00894739" w:rsidP="00894739">
      <w:pPr>
        <w:spacing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Besides economic growth has a multiples benefits in </w:t>
      </w:r>
      <w:r w:rsidR="00937AFC">
        <w:rPr>
          <w:rFonts w:ascii="Times New Roman" w:hAnsi="Times New Roman" w:cs="Times New Roman"/>
          <w:sz w:val="24"/>
          <w:szCs w:val="24"/>
          <w:shd w:val="clear" w:color="auto" w:fill="FFFFFF"/>
          <w:lang w:val="en-US"/>
        </w:rPr>
        <w:t>revenues</w:t>
      </w:r>
      <w:r>
        <w:rPr>
          <w:rFonts w:ascii="Times New Roman" w:hAnsi="Times New Roman" w:cs="Times New Roman"/>
          <w:sz w:val="24"/>
          <w:szCs w:val="24"/>
          <w:shd w:val="clear" w:color="auto" w:fill="FFFFFF"/>
          <w:lang w:val="en-US"/>
        </w:rPr>
        <w:t xml:space="preserve"> of bank and attract a new customers . In this article we studied the relationship between economic growth and bank lending . we adopt a methodology of three section . The first section is devoted to literature review ; than we make an empirical study . Finally we make a conclusion .</w:t>
      </w:r>
    </w:p>
    <w:p w:rsidR="00894739" w:rsidRDefault="00894739" w:rsidP="00894739">
      <w:pPr>
        <w:rPr>
          <w:sz w:val="24"/>
          <w:szCs w:val="24"/>
          <w:lang w:val="en-US"/>
        </w:rPr>
      </w:pPr>
      <w:r>
        <w:rPr>
          <w:b/>
          <w:sz w:val="28"/>
          <w:szCs w:val="28"/>
          <w:lang w:val="en-US"/>
        </w:rPr>
        <w:t>2-</w:t>
      </w:r>
      <w:r w:rsidRPr="00894739">
        <w:rPr>
          <w:b/>
          <w:sz w:val="28"/>
          <w:szCs w:val="28"/>
          <w:lang w:val="en-US"/>
        </w:rPr>
        <w:t>Lieterature review</w:t>
      </w:r>
      <w:r w:rsidRPr="00894739">
        <w:rPr>
          <w:sz w:val="24"/>
          <w:szCs w:val="24"/>
          <w:lang w:val="en-US"/>
        </w:rPr>
        <w:t xml:space="preserve"> </w:t>
      </w:r>
    </w:p>
    <w:p w:rsidR="006558A5" w:rsidRPr="00894739" w:rsidRDefault="006558A5" w:rsidP="00894739">
      <w:pPr>
        <w:rPr>
          <w:sz w:val="24"/>
          <w:szCs w:val="24"/>
          <w:lang w:val="en-US"/>
        </w:rPr>
      </w:pPr>
      <w:r w:rsidRPr="00AA03BB">
        <w:rPr>
          <w:b/>
          <w:sz w:val="24"/>
          <w:szCs w:val="24"/>
          <w:lang w:val="en-US"/>
        </w:rPr>
        <w:t>Joseph Schumpeter ( 1991) a</w:t>
      </w:r>
      <w:r>
        <w:rPr>
          <w:sz w:val="24"/>
          <w:szCs w:val="24"/>
          <w:lang w:val="en-US"/>
        </w:rPr>
        <w:t>rgued that financial intermediaries play a vital role in economic development because they choose which firms yet to use society’s saving.</w:t>
      </w:r>
      <w:r w:rsidR="00E65D4E">
        <w:rPr>
          <w:sz w:val="24"/>
          <w:szCs w:val="24"/>
          <w:lang w:val="en-US"/>
        </w:rPr>
        <w:t xml:space="preserve"> According to this view ; the financial intermediary sector alters the path of economic progress by affecting these allocation of savings and not necessarily by altering the role of savings .</w:t>
      </w:r>
    </w:p>
    <w:p w:rsidR="00894739" w:rsidRPr="00894739" w:rsidRDefault="00894739" w:rsidP="00894739">
      <w:pPr>
        <w:rPr>
          <w:sz w:val="24"/>
          <w:szCs w:val="24"/>
          <w:lang w:val="en-US"/>
        </w:rPr>
      </w:pPr>
      <w:r w:rsidRPr="00894739">
        <w:rPr>
          <w:b/>
          <w:sz w:val="24"/>
          <w:szCs w:val="24"/>
          <w:lang w:val="en-US"/>
        </w:rPr>
        <w:t>Leito ( 2012</w:t>
      </w:r>
      <w:r w:rsidRPr="00894739">
        <w:rPr>
          <w:sz w:val="24"/>
          <w:szCs w:val="24"/>
          <w:lang w:val="en-US"/>
        </w:rPr>
        <w:t>) examined the link between bank lending and economic growth for European Countries for the period ( 1990…2010) . He applied a dynamic panel data ( GMM system estimator ) . The results show that domestic credit discourages the growth .</w:t>
      </w:r>
    </w:p>
    <w:p w:rsidR="00894739" w:rsidRDefault="00894739" w:rsidP="00894739">
      <w:pPr>
        <w:rPr>
          <w:sz w:val="24"/>
          <w:szCs w:val="24"/>
          <w:lang w:val="en-US"/>
        </w:rPr>
      </w:pPr>
      <w:r w:rsidRPr="00894739">
        <w:rPr>
          <w:b/>
          <w:sz w:val="24"/>
          <w:szCs w:val="24"/>
          <w:lang w:val="en-US"/>
        </w:rPr>
        <w:t>Rokhim and Rusli ( 2012</w:t>
      </w:r>
      <w:r w:rsidRPr="00894739">
        <w:rPr>
          <w:sz w:val="24"/>
          <w:szCs w:val="24"/>
          <w:lang w:val="en-US"/>
        </w:rPr>
        <w:t>) studied a sample of Indonesian commercial banks between (2003…2011). They found that GDP growth not influence significantly the bank lending .</w:t>
      </w:r>
    </w:p>
    <w:p w:rsidR="00724FAD" w:rsidRDefault="00724FAD" w:rsidP="00894739">
      <w:pPr>
        <w:rPr>
          <w:sz w:val="24"/>
          <w:szCs w:val="24"/>
          <w:lang w:val="en-US"/>
        </w:rPr>
      </w:pPr>
      <w:r w:rsidRPr="00724FAD">
        <w:rPr>
          <w:b/>
          <w:sz w:val="24"/>
          <w:szCs w:val="24"/>
          <w:lang w:val="en-US"/>
        </w:rPr>
        <w:t>Izz Eddein and Ananzeh ( 2016)</w:t>
      </w:r>
      <w:r>
        <w:rPr>
          <w:sz w:val="24"/>
          <w:szCs w:val="24"/>
          <w:lang w:val="en-US"/>
        </w:rPr>
        <w:t xml:space="preserve"> studied the banks in Jordan for the period ( 1993…2014).</w:t>
      </w:r>
    </w:p>
    <w:p w:rsidR="00724FAD" w:rsidRPr="00894739" w:rsidRDefault="00724FAD" w:rsidP="00894739">
      <w:pPr>
        <w:rPr>
          <w:sz w:val="24"/>
          <w:szCs w:val="24"/>
          <w:lang w:val="en-US"/>
        </w:rPr>
      </w:pPr>
      <w:r>
        <w:rPr>
          <w:sz w:val="24"/>
          <w:szCs w:val="24"/>
          <w:lang w:val="en-US"/>
        </w:rPr>
        <w:t>They found that economic growth foster bank credit .</w:t>
      </w:r>
    </w:p>
    <w:p w:rsidR="00894739" w:rsidRDefault="00894739" w:rsidP="00894739">
      <w:pPr>
        <w:rPr>
          <w:sz w:val="24"/>
          <w:szCs w:val="24"/>
          <w:lang w:val="en-US"/>
        </w:rPr>
      </w:pPr>
      <w:r w:rsidRPr="00894739">
        <w:rPr>
          <w:b/>
          <w:sz w:val="24"/>
          <w:szCs w:val="24"/>
          <w:lang w:val="en-US"/>
        </w:rPr>
        <w:t>Wale ( 2018</w:t>
      </w:r>
      <w:r w:rsidRPr="00894739">
        <w:rPr>
          <w:sz w:val="24"/>
          <w:szCs w:val="24"/>
          <w:lang w:val="en-US"/>
        </w:rPr>
        <w:t>) studied a sample of banks in Nigeria for the period ( 1980…2016) .The results proved that a unit percent decrease bank lending rate will bring about 118% increase of economic growth .</w:t>
      </w:r>
    </w:p>
    <w:p w:rsidR="00724FAD" w:rsidRPr="00894739" w:rsidRDefault="00724FAD" w:rsidP="00894739">
      <w:pPr>
        <w:rPr>
          <w:sz w:val="24"/>
          <w:szCs w:val="24"/>
          <w:lang w:val="en-US"/>
        </w:rPr>
      </w:pPr>
      <w:r w:rsidRPr="00724FAD">
        <w:rPr>
          <w:b/>
          <w:sz w:val="24"/>
          <w:szCs w:val="24"/>
          <w:lang w:val="en-US"/>
        </w:rPr>
        <w:t>Wachtel (2018)</w:t>
      </w:r>
      <w:r>
        <w:rPr>
          <w:sz w:val="24"/>
          <w:szCs w:val="24"/>
          <w:lang w:val="en-US"/>
        </w:rPr>
        <w:t xml:space="preserve"> underlines that the development of financial activities ( credit expansion) may faster economic growth ; but credit expansion often lead to a financial crises and deep contractions .</w:t>
      </w:r>
    </w:p>
    <w:p w:rsidR="00894739" w:rsidRPr="00894739" w:rsidRDefault="00894739" w:rsidP="00894739">
      <w:pPr>
        <w:rPr>
          <w:sz w:val="24"/>
          <w:szCs w:val="24"/>
          <w:lang w:val="en-US"/>
        </w:rPr>
      </w:pPr>
      <w:r w:rsidRPr="00894739">
        <w:rPr>
          <w:b/>
          <w:sz w:val="24"/>
          <w:szCs w:val="24"/>
          <w:lang w:val="en-US"/>
        </w:rPr>
        <w:t>Tridio ( 2017</w:t>
      </w:r>
      <w:r w:rsidRPr="00894739">
        <w:rPr>
          <w:sz w:val="24"/>
          <w:szCs w:val="24"/>
          <w:lang w:val="en-US"/>
        </w:rPr>
        <w:t>) opened that low bank lending rate stimulates economic growth . However Giovanni ; Shambagh ( 2007) ; Goushe and Oitsezfor ( 2007) ; Agu ( 1988) ; Williams ( 2009) found inverse relationship between bank lending and economic growth .</w:t>
      </w:r>
    </w:p>
    <w:p w:rsidR="00894739" w:rsidRPr="00894739" w:rsidRDefault="00894739" w:rsidP="00894739">
      <w:pPr>
        <w:rPr>
          <w:sz w:val="24"/>
          <w:szCs w:val="24"/>
          <w:lang w:val="en-US"/>
        </w:rPr>
      </w:pPr>
      <w:r w:rsidRPr="00894739">
        <w:rPr>
          <w:b/>
          <w:sz w:val="24"/>
          <w:szCs w:val="24"/>
          <w:lang w:val="en-US"/>
        </w:rPr>
        <w:t>Mukhanyi (2016</w:t>
      </w:r>
      <w:r w:rsidRPr="00894739">
        <w:rPr>
          <w:sz w:val="24"/>
          <w:szCs w:val="24"/>
          <w:lang w:val="en-US"/>
        </w:rPr>
        <w:t>) has examined the lending behavior among commercial banks in Kenya by employed panel data from ( 2006…2015) of 35 commercial banks . He found that GDP growth rate was negative and significant role in bank lending .</w:t>
      </w:r>
    </w:p>
    <w:p w:rsidR="00894739" w:rsidRDefault="00AD62E6" w:rsidP="00894739">
      <w:pPr>
        <w:rPr>
          <w:sz w:val="24"/>
          <w:szCs w:val="24"/>
          <w:lang w:val="en-US"/>
        </w:rPr>
      </w:pPr>
      <w:r w:rsidRPr="00AD62E6">
        <w:rPr>
          <w:sz w:val="24"/>
          <w:szCs w:val="24"/>
          <w:lang w:val="en-US"/>
        </w:rPr>
        <w:t xml:space="preserve">Also the banking system has the role to eliminate the fund deficit by transferring the Capital awards investments in order to support the economic growth . Economic development is </w:t>
      </w:r>
      <w:r w:rsidRPr="00AD62E6">
        <w:rPr>
          <w:sz w:val="24"/>
          <w:szCs w:val="24"/>
          <w:lang w:val="en-US"/>
        </w:rPr>
        <w:lastRenderedPageBreak/>
        <w:t>possible if there is an adequate level of capital in the economy that will ensure efficient business conditions.( Pop(2015))</w:t>
      </w:r>
    </w:p>
    <w:p w:rsidR="00AD62E6" w:rsidRDefault="00AD62E6" w:rsidP="00894739">
      <w:pPr>
        <w:rPr>
          <w:sz w:val="24"/>
          <w:szCs w:val="24"/>
          <w:lang w:val="en-US"/>
        </w:rPr>
      </w:pPr>
      <w:r w:rsidRPr="00AD736A">
        <w:rPr>
          <w:b/>
          <w:sz w:val="24"/>
          <w:szCs w:val="24"/>
          <w:lang w:val="en-US"/>
        </w:rPr>
        <w:t>Abdi (2017)</w:t>
      </w:r>
      <w:r>
        <w:rPr>
          <w:sz w:val="24"/>
          <w:szCs w:val="24"/>
          <w:lang w:val="en-US"/>
        </w:rPr>
        <w:t xml:space="preserve"> used the methodology of vector error correction (VECM) and Granger Causality test from the ( 1980-1981) to ( 2014-2018)</w:t>
      </w:r>
    </w:p>
    <w:p w:rsidR="00AD62E6" w:rsidRDefault="00724FAD" w:rsidP="00894739">
      <w:pPr>
        <w:rPr>
          <w:sz w:val="24"/>
          <w:szCs w:val="24"/>
          <w:lang w:val="en-US"/>
        </w:rPr>
      </w:pPr>
      <w:r>
        <w:rPr>
          <w:sz w:val="24"/>
          <w:szCs w:val="24"/>
          <w:lang w:val="en-US"/>
        </w:rPr>
        <w:t xml:space="preserve">The Granger causality test reports the biderctional causality of disclosure in total bank loans for all sectors and real GDP. The author identified short term links between bank credit allocations for different sectors ( agriculture ; industry ; services and export ) and real GDP in the Ethiopian economy . </w:t>
      </w:r>
    </w:p>
    <w:p w:rsidR="00685967" w:rsidRDefault="00685967" w:rsidP="00894739">
      <w:pPr>
        <w:rPr>
          <w:lang w:val="en-US"/>
        </w:rPr>
      </w:pPr>
      <w:r w:rsidRPr="00463A07">
        <w:rPr>
          <w:b/>
          <w:lang w:val="en-US"/>
        </w:rPr>
        <w:t>Adzis and al ( 2018)</w:t>
      </w:r>
      <w:r>
        <w:rPr>
          <w:lang w:val="en-US"/>
        </w:rPr>
        <w:t xml:space="preserve"> investigated </w:t>
      </w:r>
      <w:r w:rsidRPr="00685967">
        <w:rPr>
          <w:lang w:val="en-US"/>
        </w:rPr>
        <w:t>the bank specific and macroeconomic determinants of commercial bank lending in Malaysia using a sample of 27 banks covering the period from 2005 to 2014. This study also examines the impact of macro prudential policy measure implemented in 2010 on the lending activities of Malaysian commercial banks. Employing random effects estimation, the findings demonstrate that bank size and volume of deposit positively influence commercial bank lending in Malaysia, while liquidity negatively influences the lending activities. With regard to macroeconomic determinants, this study does not find any conclusive evidence to support the influence of gross domestic product (GDP), lending rate and cash reserve requirement on commercial bank lending activities in Malaysia</w:t>
      </w:r>
      <w:r>
        <w:rPr>
          <w:lang w:val="en-US"/>
        </w:rPr>
        <w:t xml:space="preserve">. </w:t>
      </w:r>
    </w:p>
    <w:p w:rsidR="00054E90" w:rsidRDefault="00054E90" w:rsidP="00894739">
      <w:pPr>
        <w:rPr>
          <w:lang w:val="en-US"/>
        </w:rPr>
      </w:pPr>
      <w:r w:rsidRPr="00054E90">
        <w:rPr>
          <w:b/>
          <w:lang w:val="en-US"/>
        </w:rPr>
        <w:t>Alshammari and El Sakka ( 2018)</w:t>
      </w:r>
      <w:r w:rsidRPr="00054E90">
        <w:rPr>
          <w:lang w:val="en-US"/>
        </w:rPr>
        <w:t xml:space="preserve"> investigates the determinants of credit growth in the private sector across some of the Organization for Economic Cooperation and Development (OECD) countries. The data set covers 24 countries and uses quarterly data over a period from the fourth quarter of 2001 to the fourth quarter of 2013. Panel unit root tests, indicate that the series used are stationary at their first difference form, and cointegration tests indicate that a longterm relationship exists among the series in the panel. Generalized impulse response functions and forecast variance decomposition are analyzed. The results indicate that, in the long-run, the main determinants of bank credit growth for OECD countries are exchange rates, foreign liabilities, money supply, interest rates, inflation, GDP, and fixed capital formation (FCF). </w:t>
      </w:r>
    </w:p>
    <w:p w:rsidR="00A070B2" w:rsidRPr="00A070B2" w:rsidRDefault="00A070B2" w:rsidP="00894739">
      <w:pPr>
        <w:rPr>
          <w:sz w:val="24"/>
          <w:szCs w:val="24"/>
          <w:lang w:val="en-US"/>
        </w:rPr>
      </w:pPr>
      <w:r w:rsidRPr="00A070B2">
        <w:rPr>
          <w:b/>
          <w:lang w:val="en-US"/>
        </w:rPr>
        <w:t>Bongini and al ( 2017</w:t>
      </w:r>
      <w:r w:rsidRPr="00A070B2">
        <w:rPr>
          <w:b/>
          <w:sz w:val="24"/>
          <w:szCs w:val="24"/>
          <w:lang w:val="en-US"/>
        </w:rPr>
        <w:t>)</w:t>
      </w:r>
      <w:r w:rsidRPr="00A070B2">
        <w:rPr>
          <w:sz w:val="24"/>
          <w:szCs w:val="24"/>
          <w:lang w:val="en-US"/>
        </w:rPr>
        <w:t xml:space="preserve"> </w:t>
      </w:r>
      <w:r w:rsidRPr="00A070B2">
        <w:rPr>
          <w:rFonts w:ascii="Arial" w:hAnsi="Arial" w:cs="Arial"/>
          <w:color w:val="222222"/>
          <w:sz w:val="24"/>
          <w:szCs w:val="24"/>
          <w:shd w:val="clear" w:color="auto" w:fill="FFFFFF"/>
          <w:lang w:val="en-US"/>
        </w:rPr>
        <w:t xml:space="preserve"> focuses on the role of financial development in the economic growth of Central, Eastern and South-Eastern European (CESEE) countries in the post-communist era (1995–2014), which coincides with the opening up of financial markets to foreign investors and</w:t>
      </w:r>
      <w:r>
        <w:rPr>
          <w:rFonts w:ascii="Arial" w:hAnsi="Arial" w:cs="Arial"/>
          <w:color w:val="222222"/>
          <w:sz w:val="24"/>
          <w:szCs w:val="24"/>
          <w:shd w:val="clear" w:color="auto" w:fill="FFFFFF"/>
          <w:lang w:val="en-US"/>
        </w:rPr>
        <w:t xml:space="preserve"> the global financial crisis.They </w:t>
      </w:r>
      <w:r w:rsidRPr="00A070B2">
        <w:rPr>
          <w:rFonts w:ascii="Arial" w:hAnsi="Arial" w:cs="Arial"/>
          <w:color w:val="222222"/>
          <w:sz w:val="24"/>
          <w:szCs w:val="24"/>
          <w:shd w:val="clear" w:color="auto" w:fill="FFFFFF"/>
          <w:lang w:val="en-US"/>
        </w:rPr>
        <w:t xml:space="preserve"> investigate whether economic growth in CESEE countries has benefited from the presence of fore</w:t>
      </w:r>
      <w:r>
        <w:rPr>
          <w:rFonts w:ascii="Arial" w:hAnsi="Arial" w:cs="Arial"/>
          <w:color w:val="222222"/>
          <w:sz w:val="24"/>
          <w:szCs w:val="24"/>
          <w:shd w:val="clear" w:color="auto" w:fill="FFFFFF"/>
          <w:lang w:val="en-US"/>
        </w:rPr>
        <w:t xml:space="preserve">ign-owned banks. To this end, They </w:t>
      </w:r>
      <w:r w:rsidRPr="00A070B2">
        <w:rPr>
          <w:rFonts w:ascii="Arial" w:hAnsi="Arial" w:cs="Arial"/>
          <w:color w:val="222222"/>
          <w:sz w:val="24"/>
          <w:szCs w:val="24"/>
          <w:shd w:val="clear" w:color="auto" w:fill="FFFFFF"/>
          <w:lang w:val="en-US"/>
        </w:rPr>
        <w:t xml:space="preserve"> introduce some refined measures of financial development and control for banks’ financia</w:t>
      </w:r>
      <w:r>
        <w:rPr>
          <w:rFonts w:ascii="Arial" w:hAnsi="Arial" w:cs="Arial"/>
          <w:color w:val="222222"/>
          <w:sz w:val="24"/>
          <w:szCs w:val="24"/>
          <w:shd w:val="clear" w:color="auto" w:fill="FFFFFF"/>
          <w:lang w:val="en-US"/>
        </w:rPr>
        <w:t xml:space="preserve">l strength.Thier </w:t>
      </w:r>
      <w:r w:rsidRPr="00A070B2">
        <w:rPr>
          <w:rFonts w:ascii="Arial" w:hAnsi="Arial" w:cs="Arial"/>
          <w:color w:val="222222"/>
          <w:sz w:val="24"/>
          <w:szCs w:val="24"/>
          <w:shd w:val="clear" w:color="auto" w:fill="FFFFFF"/>
          <w:lang w:val="en-US"/>
        </w:rPr>
        <w:t xml:space="preserve"> results challenge the idea that bank credit fosters economic growth and that foreign-owned banks are indisputably a positive addition to local markets able to foster economic growth.</w:t>
      </w:r>
    </w:p>
    <w:p w:rsidR="009231FE" w:rsidRDefault="009231FE" w:rsidP="00894739">
      <w:pPr>
        <w:rPr>
          <w:sz w:val="24"/>
          <w:szCs w:val="24"/>
          <w:lang w:val="en-US"/>
        </w:rPr>
      </w:pPr>
      <w:r w:rsidRPr="00AD736A">
        <w:rPr>
          <w:b/>
          <w:sz w:val="24"/>
          <w:szCs w:val="24"/>
          <w:lang w:val="en-US"/>
        </w:rPr>
        <w:t>Vaithiligam ; Guru ; Shanmugam (2008</w:t>
      </w:r>
      <w:r>
        <w:rPr>
          <w:sz w:val="24"/>
          <w:szCs w:val="24"/>
          <w:lang w:val="en-US"/>
        </w:rPr>
        <w:t>) analyzed the role of commercial bank lending on economic growth in Malysia . By using VECVM model they found that real income is directly affected by an increase in commercial bank credit to private sector and vice versa .</w:t>
      </w:r>
    </w:p>
    <w:p w:rsidR="00AD736A" w:rsidRDefault="00AD736A" w:rsidP="00894739">
      <w:pPr>
        <w:rPr>
          <w:color w:val="333333"/>
          <w:sz w:val="24"/>
          <w:szCs w:val="24"/>
          <w:shd w:val="clear" w:color="auto" w:fill="FFFFFF"/>
          <w:lang w:val="en-US"/>
        </w:rPr>
      </w:pPr>
      <w:r w:rsidRPr="00AD736A">
        <w:rPr>
          <w:b/>
          <w:color w:val="333333"/>
          <w:sz w:val="24"/>
          <w:szCs w:val="24"/>
          <w:shd w:val="clear" w:color="auto" w:fill="FFFFFF"/>
          <w:lang w:val="en-US"/>
        </w:rPr>
        <w:lastRenderedPageBreak/>
        <w:t>Joseph(2020)</w:t>
      </w:r>
      <w:r w:rsidRPr="00AD736A">
        <w:rPr>
          <w:color w:val="333333"/>
          <w:sz w:val="24"/>
          <w:szCs w:val="24"/>
          <w:shd w:val="clear" w:color="auto" w:fill="FFFFFF"/>
          <w:lang w:val="en-US"/>
        </w:rPr>
        <w:t xml:space="preserve"> examined the causal relationship between bank credit by borrowing sector and economic growth and between overall financial intermediation and economic growth. Time series data for the period </w:t>
      </w:r>
      <w:r>
        <w:rPr>
          <w:color w:val="333333"/>
          <w:sz w:val="24"/>
          <w:szCs w:val="24"/>
          <w:shd w:val="clear" w:color="auto" w:fill="FFFFFF"/>
          <w:lang w:val="en-US"/>
        </w:rPr>
        <w:t>(</w:t>
      </w:r>
      <w:r w:rsidRPr="00AD736A">
        <w:rPr>
          <w:color w:val="333333"/>
          <w:sz w:val="24"/>
          <w:szCs w:val="24"/>
          <w:shd w:val="clear" w:color="auto" w:fill="FFFFFF"/>
          <w:lang w:val="en-US"/>
        </w:rPr>
        <w:t>1993-2017</w:t>
      </w:r>
      <w:r>
        <w:rPr>
          <w:color w:val="333333"/>
          <w:sz w:val="24"/>
          <w:szCs w:val="24"/>
          <w:shd w:val="clear" w:color="auto" w:fill="FFFFFF"/>
          <w:lang w:val="en-US"/>
        </w:rPr>
        <w:t>)</w:t>
      </w:r>
      <w:r w:rsidRPr="00AD736A">
        <w:rPr>
          <w:color w:val="333333"/>
          <w:sz w:val="24"/>
          <w:szCs w:val="24"/>
          <w:shd w:val="clear" w:color="auto" w:fill="FFFFFF"/>
          <w:lang w:val="en-US"/>
        </w:rPr>
        <w:t xml:space="preserve"> is used. Causality test and vector error correction is applied. Results show that there is no causal relationship between bank credit and economic growth and between economic growth and bank credit. In the long run, bank credit has a significant positive effect on economic growth. </w:t>
      </w:r>
    </w:p>
    <w:p w:rsidR="00E65D4E" w:rsidRDefault="00E65D4E" w:rsidP="00894739">
      <w:pPr>
        <w:rPr>
          <w:color w:val="333333"/>
          <w:sz w:val="24"/>
          <w:szCs w:val="24"/>
          <w:shd w:val="clear" w:color="auto" w:fill="FFFFFF"/>
          <w:lang w:val="en-US"/>
        </w:rPr>
      </w:pPr>
      <w:r w:rsidRPr="00E65D4E">
        <w:rPr>
          <w:b/>
          <w:color w:val="333333"/>
          <w:sz w:val="24"/>
          <w:szCs w:val="24"/>
          <w:shd w:val="clear" w:color="auto" w:fill="FFFFFF"/>
          <w:lang w:val="en-US"/>
        </w:rPr>
        <w:t>Morina and Ozen ( 2020)</w:t>
      </w:r>
      <w:r>
        <w:rPr>
          <w:color w:val="333333"/>
          <w:sz w:val="24"/>
          <w:szCs w:val="24"/>
          <w:shd w:val="clear" w:color="auto" w:fill="FFFFFF"/>
          <w:lang w:val="en-US"/>
        </w:rPr>
        <w:t xml:space="preserve"> studied a sample of banks in Kosovo . They found that bank lending has positive impact on economic growth .</w:t>
      </w:r>
    </w:p>
    <w:p w:rsidR="005F19AA" w:rsidRDefault="005F19AA" w:rsidP="005F19AA">
      <w:pPr>
        <w:spacing w:line="240" w:lineRule="auto"/>
        <w:jc w:val="both"/>
        <w:rPr>
          <w:rFonts w:ascii="Times New Roman" w:hAnsi="Times New Roman" w:cs="Times New Roman"/>
          <w:color w:val="333333"/>
          <w:sz w:val="24"/>
          <w:szCs w:val="24"/>
          <w:shd w:val="clear" w:color="auto" w:fill="FCFCFC"/>
          <w:lang w:val="en-US"/>
        </w:rPr>
      </w:pPr>
      <w:r w:rsidRPr="005F19AA">
        <w:rPr>
          <w:rFonts w:ascii="Times New Roman" w:hAnsi="Times New Roman" w:cs="Times New Roman"/>
          <w:color w:val="333333"/>
          <w:sz w:val="24"/>
          <w:szCs w:val="24"/>
          <w:shd w:val="clear" w:color="auto" w:fill="FCFCFC"/>
          <w:lang w:val="en-US"/>
        </w:rPr>
        <w:t>The bank credit affects real GDP per worker through its role of domestic capital accumulation and efficient resource allocation (efficiency) and hence, in total factor productivity in the long-run (Murty et al. </w:t>
      </w:r>
      <w:hyperlink r:id="rId11" w:anchor="ref-CR31" w:tooltip="Murty KS, Sailaja K, Demissie WM (2012) The long-run impact of Bank credit on economic growth in Ethiopia: evidence from the Johansen’s multivariate Cointegration approach. Eur J Bus Manag 4(14):20–33" w:history="1">
        <w:r w:rsidRPr="005F19AA">
          <w:rPr>
            <w:rStyle w:val="Lienhypertexte"/>
            <w:rFonts w:ascii="Times New Roman" w:hAnsi="Times New Roman" w:cs="Times New Roman"/>
            <w:color w:val="004B83"/>
            <w:sz w:val="24"/>
            <w:szCs w:val="24"/>
            <w:shd w:val="clear" w:color="auto" w:fill="FCFCFC"/>
            <w:lang w:val="en-US"/>
          </w:rPr>
          <w:t>2012</w:t>
        </w:r>
      </w:hyperlink>
      <w:r w:rsidRPr="005F19AA">
        <w:rPr>
          <w:rFonts w:ascii="Times New Roman" w:hAnsi="Times New Roman" w:cs="Times New Roman"/>
          <w:color w:val="333333"/>
          <w:sz w:val="24"/>
          <w:szCs w:val="24"/>
          <w:shd w:val="clear" w:color="auto" w:fill="FCFCFC"/>
          <w:lang w:val="en-US"/>
        </w:rPr>
        <w:t>). Accordingly, a pro-active policy of growth and reform of the financial sector will help enhance economic growth in an open developing economy like Saudi Arabia (Masih et al. </w:t>
      </w:r>
      <w:hyperlink r:id="rId12" w:anchor="ref-CR29" w:tooltip="Masih M, Al-Elg A, Madani H (2010) Causality between financial development and economic growth: an application of vector error correction and variance decomposition methods to Saudi Arabia. Appl Econ 41(13):1691–1699" w:history="1">
        <w:r w:rsidRPr="005F19AA">
          <w:rPr>
            <w:rStyle w:val="Lienhypertexte"/>
            <w:rFonts w:ascii="Times New Roman" w:hAnsi="Times New Roman" w:cs="Times New Roman"/>
            <w:color w:val="004B83"/>
            <w:sz w:val="24"/>
            <w:szCs w:val="24"/>
            <w:shd w:val="clear" w:color="auto" w:fill="FCFCFC"/>
            <w:lang w:val="en-US"/>
          </w:rPr>
          <w:t>2010</w:t>
        </w:r>
      </w:hyperlink>
      <w:r w:rsidRPr="005F19AA">
        <w:rPr>
          <w:rFonts w:ascii="Times New Roman" w:hAnsi="Times New Roman" w:cs="Times New Roman"/>
          <w:color w:val="333333"/>
          <w:sz w:val="24"/>
          <w:szCs w:val="24"/>
          <w:shd w:val="clear" w:color="auto" w:fill="FCFCFC"/>
          <w:lang w:val="en-US"/>
        </w:rPr>
        <w:t xml:space="preserve">). </w:t>
      </w:r>
    </w:p>
    <w:p w:rsidR="00463A07" w:rsidRPr="00463A07" w:rsidRDefault="00463A07" w:rsidP="005F19AA">
      <w:pPr>
        <w:spacing w:line="240" w:lineRule="auto"/>
        <w:jc w:val="both"/>
        <w:rPr>
          <w:rFonts w:ascii="Times New Roman" w:hAnsi="Times New Roman" w:cs="Times New Roman"/>
          <w:color w:val="333333"/>
          <w:sz w:val="24"/>
          <w:szCs w:val="24"/>
          <w:shd w:val="clear" w:color="auto" w:fill="FCFCFC"/>
          <w:lang w:val="en-US"/>
        </w:rPr>
      </w:pPr>
      <w:r w:rsidRPr="00463A07">
        <w:rPr>
          <w:rFonts w:ascii="Georgia" w:hAnsi="Georgia"/>
          <w:color w:val="333333"/>
          <w:sz w:val="24"/>
          <w:szCs w:val="24"/>
          <w:shd w:val="clear" w:color="auto" w:fill="FCFCFC"/>
          <w:lang w:val="en-US"/>
        </w:rPr>
        <w:t xml:space="preserve">By making use of a panel dataset that covers 61 provinces of Vietnam over the period 1997 to 2006, </w:t>
      </w:r>
      <w:r w:rsidRPr="00463A07">
        <w:rPr>
          <w:rFonts w:ascii="Georgia" w:hAnsi="Georgia"/>
          <w:b/>
          <w:color w:val="333333"/>
          <w:sz w:val="24"/>
          <w:szCs w:val="24"/>
          <w:shd w:val="clear" w:color="auto" w:fill="FCFCFC"/>
          <w:lang w:val="en-US"/>
        </w:rPr>
        <w:t>Anwar and Nguyen(2011)</w:t>
      </w:r>
      <w:r w:rsidRPr="00463A07">
        <w:rPr>
          <w:rFonts w:ascii="Georgia" w:hAnsi="Georgia"/>
          <w:color w:val="333333"/>
          <w:sz w:val="24"/>
          <w:szCs w:val="24"/>
          <w:shd w:val="clear" w:color="auto" w:fill="FCFCFC"/>
          <w:lang w:val="en-US"/>
        </w:rPr>
        <w:t xml:space="preserve"> examines the link between financial development and economic growth. Our analysis, which is based on endogenous growth theory, reveals that financial development has contributed to economic growth in Vietnam. We find that high ratio of credit to Gross Provincial Product (GPP) has accelerated economic growth in Vietnam. We also found a strong positive link between financial development and economic growth when alternative measures of financial development were used. The impact of foreign direct investment on economic growth will be stronger if more resources are invested in financial market development.</w:t>
      </w:r>
    </w:p>
    <w:p w:rsidR="005F19AA" w:rsidRDefault="005F19AA" w:rsidP="005F19AA">
      <w:pPr>
        <w:spacing w:line="240" w:lineRule="auto"/>
        <w:jc w:val="both"/>
        <w:rPr>
          <w:rFonts w:ascii="Times New Roman" w:hAnsi="Times New Roman" w:cs="Times New Roman"/>
          <w:color w:val="333333"/>
          <w:sz w:val="24"/>
          <w:szCs w:val="24"/>
          <w:shd w:val="clear" w:color="auto" w:fill="FCFCFC"/>
          <w:lang w:val="en-US"/>
        </w:rPr>
      </w:pPr>
      <w:r w:rsidRPr="005F19AA">
        <w:rPr>
          <w:rFonts w:ascii="Times New Roman" w:hAnsi="Times New Roman" w:cs="Times New Roman"/>
          <w:color w:val="333333"/>
          <w:sz w:val="24"/>
          <w:szCs w:val="24"/>
          <w:shd w:val="clear" w:color="auto" w:fill="FCFCFC"/>
          <w:lang w:val="en-US"/>
        </w:rPr>
        <w:t>In addition, the efficient development of modern banking sector of bank lending is a useful instrument to promote economic growth in Nepal (Timsina and Pradhan </w:t>
      </w:r>
      <w:hyperlink r:id="rId13" w:anchor="ref-CR48" w:tooltip="Timsina N, Pradhan RS (2016) Effects of Bank lending on economic growth in Nepal. J Adv Acad Res 3:53–75" w:history="1">
        <w:r w:rsidRPr="005F19AA">
          <w:rPr>
            <w:rStyle w:val="Lienhypertexte"/>
            <w:rFonts w:ascii="Times New Roman" w:hAnsi="Times New Roman" w:cs="Times New Roman"/>
            <w:color w:val="004B83"/>
            <w:sz w:val="24"/>
            <w:szCs w:val="24"/>
            <w:shd w:val="clear" w:color="auto" w:fill="FCFCFC"/>
            <w:lang w:val="en-US"/>
          </w:rPr>
          <w:t>2016</w:t>
        </w:r>
      </w:hyperlink>
      <w:r w:rsidRPr="005F19AA">
        <w:rPr>
          <w:rFonts w:ascii="Times New Roman" w:hAnsi="Times New Roman" w:cs="Times New Roman"/>
          <w:color w:val="333333"/>
          <w:sz w:val="24"/>
          <w:szCs w:val="24"/>
          <w:shd w:val="clear" w:color="auto" w:fill="FCFCFC"/>
          <w:lang w:val="en-US"/>
        </w:rPr>
        <w:t>).</w:t>
      </w:r>
    </w:p>
    <w:p w:rsidR="005F19AA" w:rsidRDefault="005F19AA" w:rsidP="005F19AA">
      <w:pPr>
        <w:spacing w:line="240" w:lineRule="auto"/>
        <w:jc w:val="both"/>
        <w:rPr>
          <w:rFonts w:ascii="Times New Roman" w:hAnsi="Times New Roman" w:cs="Times New Roman"/>
          <w:color w:val="333333"/>
          <w:sz w:val="24"/>
          <w:szCs w:val="24"/>
          <w:shd w:val="clear" w:color="auto" w:fill="FCFCFC"/>
          <w:lang w:val="en-US"/>
        </w:rPr>
      </w:pPr>
      <w:r w:rsidRPr="005F19AA">
        <w:rPr>
          <w:rFonts w:ascii="Times New Roman" w:hAnsi="Times New Roman" w:cs="Times New Roman"/>
          <w:color w:val="333333"/>
          <w:sz w:val="24"/>
          <w:szCs w:val="24"/>
          <w:shd w:val="clear" w:color="auto" w:fill="FCFCFC"/>
          <w:lang w:val="en-US"/>
        </w:rPr>
        <w:t>With reference to negative causality, the relationship between financial sector development and economic growth, using a sample of northern and southern Mediterranean countries (Algeria, Egypt, Israel, Jordan, Lebanon, and Libya, Morocco, Palestine, Syria, Tunisia, and Turkey) during the years 1985–2009 (Ben-Naceur et al. </w:t>
      </w:r>
      <w:hyperlink r:id="rId14" w:anchor="ref-CR7" w:tooltip="Ben-Naceur, E. A., De Groen, W. P., &amp; Ayadi, R. (2013). Financial development, Bank efficiency and economic growth across the Mediterranean. Retrieved 1 5, 2014, from &#10;                    www.medpro-foresight.eu&#10;                    &#10;                  &#10;        " w:history="1">
        <w:r w:rsidRPr="005F19AA">
          <w:rPr>
            <w:rStyle w:val="Lienhypertexte"/>
            <w:rFonts w:ascii="Times New Roman" w:hAnsi="Times New Roman" w:cs="Times New Roman"/>
            <w:color w:val="004B83"/>
            <w:sz w:val="24"/>
            <w:szCs w:val="24"/>
            <w:shd w:val="clear" w:color="auto" w:fill="FCFCFC"/>
            <w:lang w:val="en-US"/>
          </w:rPr>
          <w:t>2013</w:t>
        </w:r>
      </w:hyperlink>
      <w:r w:rsidRPr="005F19AA">
        <w:rPr>
          <w:rFonts w:ascii="Times New Roman" w:hAnsi="Times New Roman" w:cs="Times New Roman"/>
          <w:color w:val="333333"/>
          <w:sz w:val="24"/>
          <w:szCs w:val="24"/>
          <w:shd w:val="clear" w:color="auto" w:fill="FCFCFC"/>
          <w:lang w:val="en-US"/>
        </w:rPr>
        <w:t>). The results on the large sample indicate that credit to the private sector and bank deposits are in many specifications negatively associated with growth, meaning that there are problems of credit allocation in the region and weak financial regulation and supervision.</w:t>
      </w:r>
    </w:p>
    <w:p w:rsidR="00463A07" w:rsidRPr="00463A07" w:rsidRDefault="00463A07" w:rsidP="005F19AA">
      <w:pPr>
        <w:spacing w:line="240" w:lineRule="auto"/>
        <w:jc w:val="both"/>
        <w:rPr>
          <w:rFonts w:ascii="Times New Roman" w:hAnsi="Times New Roman" w:cs="Times New Roman"/>
          <w:sz w:val="24"/>
          <w:szCs w:val="24"/>
          <w:lang w:val="en-US"/>
        </w:rPr>
      </w:pPr>
      <w:r w:rsidRPr="00463A07">
        <w:rPr>
          <w:lang w:val="en-US"/>
        </w:rPr>
        <w:t>One of the most important tasks of any state is to ensure stable economic growth. Banks can play an important role in performing this task, primarily by providing loans. The purpose of the study</w:t>
      </w:r>
      <w:r>
        <w:rPr>
          <w:lang w:val="en-US"/>
        </w:rPr>
        <w:t xml:space="preserve"> of </w:t>
      </w:r>
      <w:r w:rsidRPr="00463A07">
        <w:rPr>
          <w:b/>
          <w:lang w:val="en-US"/>
        </w:rPr>
        <w:t>Korobov and al (2021)</w:t>
      </w:r>
      <w:r w:rsidRPr="00463A07">
        <w:rPr>
          <w:lang w:val="en-US"/>
        </w:rPr>
        <w:t xml:space="preserve"> is to identify the relationship between indicators of banks’ lending activity and general indicators of economic development. Index of physical volume of GDP and index of physical volume of fixed capital investment were selected as resultant economic indicators, and growth rate of debt on bank loans (overall and by loan types), the share of loans in fixed capital investment, and the ratio of debt on bank loans to GDP were used as factor variables. The study of the dynamics of these indicators showed that the trajectory of economic indicators has a general tendency to decrease their values; the dynamics of economic indicators depends more on bank lending to legal entities than on lending to individuals, and often reflects the change in the share of loans in fixed capital investment with a time lag; economic growth is more strongly influenced by bank lending to legal entities than by lendi</w:t>
      </w:r>
      <w:r>
        <w:rPr>
          <w:lang w:val="en-US"/>
        </w:rPr>
        <w:t>ng to individuals.</w:t>
      </w:r>
    </w:p>
    <w:p w:rsidR="005F19AA" w:rsidRDefault="005F19AA" w:rsidP="00724FAD">
      <w:pPr>
        <w:rPr>
          <w:b/>
          <w:sz w:val="28"/>
          <w:szCs w:val="28"/>
          <w:lang w:val="en-US"/>
        </w:rPr>
      </w:pPr>
    </w:p>
    <w:p w:rsidR="005F19AA" w:rsidRDefault="005F19AA" w:rsidP="00724FAD">
      <w:pPr>
        <w:rPr>
          <w:b/>
          <w:sz w:val="28"/>
          <w:szCs w:val="28"/>
          <w:lang w:val="en-US"/>
        </w:rPr>
      </w:pPr>
    </w:p>
    <w:p w:rsidR="005F19AA" w:rsidRDefault="005F19AA" w:rsidP="00724FAD">
      <w:pPr>
        <w:rPr>
          <w:b/>
          <w:sz w:val="28"/>
          <w:szCs w:val="28"/>
          <w:lang w:val="en-US"/>
        </w:rPr>
      </w:pPr>
    </w:p>
    <w:p w:rsidR="00724FAD" w:rsidRPr="00CD4B76" w:rsidRDefault="00724FAD" w:rsidP="00724FAD">
      <w:pPr>
        <w:rPr>
          <w:b/>
          <w:sz w:val="28"/>
          <w:szCs w:val="28"/>
          <w:lang w:val="en-US"/>
        </w:rPr>
      </w:pPr>
      <w:r w:rsidRPr="00CD4B76">
        <w:rPr>
          <w:b/>
          <w:sz w:val="28"/>
          <w:szCs w:val="28"/>
          <w:lang w:val="en-US"/>
        </w:rPr>
        <w:t xml:space="preserve">3-Empricial study </w:t>
      </w:r>
    </w:p>
    <w:p w:rsidR="00724FAD" w:rsidRDefault="00724FAD" w:rsidP="00724FAD">
      <w:pPr>
        <w:pStyle w:val="Paragraphedeliste"/>
        <w:rPr>
          <w:lang w:val="en-US"/>
        </w:rPr>
      </w:pPr>
      <w:r w:rsidRPr="00222336">
        <w:rPr>
          <w:b/>
          <w:sz w:val="28"/>
          <w:szCs w:val="28"/>
          <w:lang w:val="en-US"/>
        </w:rPr>
        <w:t>A-Sample</w:t>
      </w:r>
      <w:r>
        <w:rPr>
          <w:lang w:val="en-US"/>
        </w:rPr>
        <w:t xml:space="preserve"> </w:t>
      </w:r>
    </w:p>
    <w:p w:rsidR="00724FAD" w:rsidRDefault="00724FAD" w:rsidP="00724FAD">
      <w:pPr>
        <w:pStyle w:val="Paragraphedeliste"/>
        <w:rPr>
          <w:lang w:val="en-US"/>
        </w:rPr>
      </w:pPr>
      <w:r>
        <w:rPr>
          <w:lang w:val="en-US"/>
        </w:rPr>
        <w:t>We studied a sample of 11 banks in Tunisia for the period ( 2005..2020)</w:t>
      </w:r>
    </w:p>
    <w:p w:rsidR="00724FAD" w:rsidRDefault="00724FAD" w:rsidP="00724FAD">
      <w:pPr>
        <w:pStyle w:val="Paragraphedeliste"/>
        <w:rPr>
          <w:lang w:val="en-US"/>
        </w:rPr>
      </w:pPr>
    </w:p>
    <w:p w:rsidR="00724FAD" w:rsidRPr="00222336" w:rsidRDefault="00724FAD" w:rsidP="00724FAD">
      <w:pPr>
        <w:pStyle w:val="Paragraphedeliste"/>
        <w:rPr>
          <w:b/>
          <w:sz w:val="28"/>
          <w:szCs w:val="28"/>
          <w:lang w:val="en-US"/>
        </w:rPr>
      </w:pPr>
      <w:r w:rsidRPr="00222336">
        <w:rPr>
          <w:b/>
          <w:sz w:val="28"/>
          <w:szCs w:val="28"/>
          <w:lang w:val="en-US"/>
        </w:rPr>
        <w:t xml:space="preserve">B-Econometric method </w:t>
      </w:r>
    </w:p>
    <w:p w:rsidR="00724FAD" w:rsidRDefault="00724FAD" w:rsidP="00724FAD">
      <w:pPr>
        <w:pStyle w:val="Paragraphedeliste"/>
        <w:rPr>
          <w:lang w:val="en-US"/>
        </w:rPr>
      </w:pPr>
      <w:r>
        <w:rPr>
          <w:lang w:val="en-US"/>
        </w:rPr>
        <w:t>We used a panel static because it control the hoterogeneity and temporal dimension of variables .</w:t>
      </w:r>
    </w:p>
    <w:p w:rsidR="00724FAD" w:rsidRPr="00082267" w:rsidRDefault="00724FAD" w:rsidP="00724FAD">
      <w:pPr>
        <w:pStyle w:val="Paragraphedeliste"/>
        <w:rPr>
          <w:lang w:val="en-US"/>
        </w:rPr>
      </w:pPr>
    </w:p>
    <w:p w:rsidR="00724FAD" w:rsidRPr="00D652A2" w:rsidRDefault="00724FAD" w:rsidP="00724FAD">
      <w:pPr>
        <w:pStyle w:val="Paragraphedeliste"/>
        <w:rPr>
          <w:b/>
          <w:sz w:val="28"/>
          <w:szCs w:val="28"/>
        </w:rPr>
      </w:pPr>
      <w:r w:rsidRPr="00D652A2">
        <w:rPr>
          <w:b/>
          <w:sz w:val="28"/>
          <w:szCs w:val="28"/>
        </w:rPr>
        <w:t xml:space="preserve">C-Model </w:t>
      </w:r>
    </w:p>
    <w:p w:rsidR="00724FAD" w:rsidRPr="00C108C8" w:rsidRDefault="00724FAD" w:rsidP="00724FAD">
      <w:pPr>
        <w:pStyle w:val="Paragraphedeliste"/>
        <w:rPr>
          <w:sz w:val="24"/>
          <w:szCs w:val="24"/>
        </w:rPr>
      </w:pPr>
      <w:r>
        <w:rPr>
          <w:sz w:val="24"/>
          <w:szCs w:val="24"/>
        </w:rPr>
        <w:t>TLA i</w:t>
      </w:r>
      <w:r w:rsidRPr="00C108C8">
        <w:rPr>
          <w:sz w:val="24"/>
          <w:szCs w:val="24"/>
        </w:rPr>
        <w:t>,t = b</w:t>
      </w:r>
      <w:r w:rsidRPr="00C108C8">
        <w:rPr>
          <w:sz w:val="20"/>
          <w:szCs w:val="20"/>
        </w:rPr>
        <w:t>0</w:t>
      </w:r>
      <w:r w:rsidRPr="00C108C8">
        <w:rPr>
          <w:sz w:val="24"/>
          <w:szCs w:val="24"/>
        </w:rPr>
        <w:t>+ b</w:t>
      </w:r>
      <w:r w:rsidRPr="00C108C8">
        <w:rPr>
          <w:sz w:val="20"/>
          <w:szCs w:val="20"/>
        </w:rPr>
        <w:t>1</w:t>
      </w:r>
      <w:r w:rsidRPr="00C108C8">
        <w:rPr>
          <w:sz w:val="24"/>
          <w:szCs w:val="24"/>
        </w:rPr>
        <w:t xml:space="preserve"> </w:t>
      </w:r>
      <w:r w:rsidRPr="00BB05EF">
        <w:rPr>
          <w:b/>
          <w:sz w:val="24"/>
          <w:szCs w:val="24"/>
        </w:rPr>
        <w:t>ROAi,t</w:t>
      </w:r>
      <w:r w:rsidRPr="00C108C8">
        <w:rPr>
          <w:sz w:val="24"/>
          <w:szCs w:val="24"/>
        </w:rPr>
        <w:t xml:space="preserve"> +b</w:t>
      </w:r>
      <w:r w:rsidRPr="00C108C8">
        <w:rPr>
          <w:sz w:val="20"/>
          <w:szCs w:val="20"/>
        </w:rPr>
        <w:t>2</w:t>
      </w:r>
      <w:r w:rsidRPr="00C108C8">
        <w:rPr>
          <w:sz w:val="24"/>
          <w:szCs w:val="24"/>
        </w:rPr>
        <w:t xml:space="preserve"> </w:t>
      </w:r>
      <w:r>
        <w:rPr>
          <w:b/>
          <w:sz w:val="24"/>
          <w:szCs w:val="24"/>
        </w:rPr>
        <w:t>ROE i</w:t>
      </w:r>
      <w:r w:rsidRPr="00BB05EF">
        <w:rPr>
          <w:b/>
          <w:sz w:val="24"/>
          <w:szCs w:val="24"/>
        </w:rPr>
        <w:t>,t</w:t>
      </w:r>
      <w:r w:rsidRPr="00C108C8">
        <w:rPr>
          <w:sz w:val="24"/>
          <w:szCs w:val="24"/>
        </w:rPr>
        <w:t xml:space="preserve"> +b</w:t>
      </w:r>
      <w:r w:rsidRPr="00C108C8">
        <w:rPr>
          <w:sz w:val="20"/>
          <w:szCs w:val="20"/>
        </w:rPr>
        <w:t>3</w:t>
      </w:r>
      <w:r w:rsidRPr="00C108C8">
        <w:rPr>
          <w:sz w:val="24"/>
          <w:szCs w:val="24"/>
        </w:rPr>
        <w:t xml:space="preserve"> </w:t>
      </w:r>
      <w:r w:rsidRPr="00BB05EF">
        <w:rPr>
          <w:b/>
          <w:sz w:val="24"/>
          <w:szCs w:val="24"/>
        </w:rPr>
        <w:t>NIMi,t</w:t>
      </w:r>
      <w:r w:rsidRPr="00C108C8">
        <w:rPr>
          <w:sz w:val="24"/>
          <w:szCs w:val="24"/>
        </w:rPr>
        <w:t xml:space="preserve"> +b</w:t>
      </w:r>
      <w:r w:rsidRPr="00C108C8">
        <w:rPr>
          <w:sz w:val="20"/>
          <w:szCs w:val="20"/>
        </w:rPr>
        <w:t xml:space="preserve">4 </w:t>
      </w:r>
      <w:r w:rsidRPr="00D652A2">
        <w:rPr>
          <w:b/>
          <w:sz w:val="24"/>
          <w:szCs w:val="24"/>
        </w:rPr>
        <w:t>Sizei, t</w:t>
      </w:r>
      <w:r w:rsidRPr="00C108C8">
        <w:rPr>
          <w:sz w:val="24"/>
          <w:szCs w:val="24"/>
        </w:rPr>
        <w:t>+b</w:t>
      </w:r>
      <w:r w:rsidRPr="00C108C8">
        <w:rPr>
          <w:sz w:val="20"/>
          <w:szCs w:val="20"/>
        </w:rPr>
        <w:t>5</w:t>
      </w:r>
      <w:r w:rsidRPr="00C108C8">
        <w:rPr>
          <w:sz w:val="24"/>
          <w:szCs w:val="24"/>
        </w:rPr>
        <w:t xml:space="preserve"> </w:t>
      </w:r>
      <w:r w:rsidRPr="00D652A2">
        <w:rPr>
          <w:b/>
          <w:sz w:val="24"/>
          <w:szCs w:val="24"/>
        </w:rPr>
        <w:t>CAPi,t</w:t>
      </w:r>
      <w:r w:rsidRPr="00C108C8">
        <w:rPr>
          <w:sz w:val="24"/>
          <w:szCs w:val="24"/>
        </w:rPr>
        <w:t xml:space="preserve"> +b</w:t>
      </w:r>
      <w:r w:rsidRPr="00C108C8">
        <w:rPr>
          <w:sz w:val="20"/>
          <w:szCs w:val="20"/>
        </w:rPr>
        <w:t>6</w:t>
      </w:r>
      <w:r w:rsidRPr="00C108C8">
        <w:rPr>
          <w:sz w:val="24"/>
          <w:szCs w:val="24"/>
        </w:rPr>
        <w:t xml:space="preserve"> </w:t>
      </w:r>
      <w:r w:rsidRPr="00D652A2">
        <w:rPr>
          <w:b/>
          <w:sz w:val="24"/>
          <w:szCs w:val="24"/>
        </w:rPr>
        <w:t>ALAi,</w:t>
      </w:r>
      <w:r w:rsidRPr="00C108C8">
        <w:rPr>
          <w:sz w:val="24"/>
          <w:szCs w:val="24"/>
        </w:rPr>
        <w:t>t +b</w:t>
      </w:r>
      <w:r w:rsidRPr="00C108C8">
        <w:rPr>
          <w:sz w:val="20"/>
          <w:szCs w:val="20"/>
        </w:rPr>
        <w:t>7</w:t>
      </w:r>
      <w:r w:rsidRPr="00C108C8">
        <w:rPr>
          <w:sz w:val="24"/>
          <w:szCs w:val="24"/>
        </w:rPr>
        <w:t xml:space="preserve"> CDi,t +b</w:t>
      </w:r>
      <w:r w:rsidRPr="00C108C8">
        <w:rPr>
          <w:sz w:val="20"/>
          <w:szCs w:val="20"/>
        </w:rPr>
        <w:t>8</w:t>
      </w:r>
      <w:r w:rsidRPr="00C108C8">
        <w:rPr>
          <w:sz w:val="24"/>
          <w:szCs w:val="24"/>
        </w:rPr>
        <w:t xml:space="preserve"> </w:t>
      </w:r>
      <w:r w:rsidRPr="00D652A2">
        <w:rPr>
          <w:b/>
          <w:sz w:val="24"/>
          <w:szCs w:val="24"/>
        </w:rPr>
        <w:t>CEAi,t</w:t>
      </w:r>
      <w:r w:rsidRPr="00C108C8">
        <w:rPr>
          <w:sz w:val="24"/>
          <w:szCs w:val="24"/>
        </w:rPr>
        <w:t xml:space="preserve"> +b</w:t>
      </w:r>
      <w:r w:rsidRPr="00C108C8">
        <w:rPr>
          <w:sz w:val="20"/>
          <w:szCs w:val="20"/>
        </w:rPr>
        <w:t>9</w:t>
      </w:r>
      <w:r w:rsidRPr="00C108C8">
        <w:rPr>
          <w:sz w:val="24"/>
          <w:szCs w:val="24"/>
        </w:rPr>
        <w:t xml:space="preserve"> </w:t>
      </w:r>
      <w:r w:rsidRPr="00BB05EF">
        <w:rPr>
          <w:b/>
          <w:sz w:val="24"/>
          <w:szCs w:val="24"/>
        </w:rPr>
        <w:t>Tdepositi,t</w:t>
      </w:r>
      <w:r w:rsidRPr="00C108C8">
        <w:rPr>
          <w:sz w:val="24"/>
          <w:szCs w:val="24"/>
        </w:rPr>
        <w:t xml:space="preserve"> +b</w:t>
      </w:r>
      <w:r w:rsidRPr="00C108C8">
        <w:rPr>
          <w:sz w:val="20"/>
          <w:szCs w:val="20"/>
        </w:rPr>
        <w:t xml:space="preserve">10 </w:t>
      </w:r>
      <w:r w:rsidRPr="00BB05EF">
        <w:rPr>
          <w:b/>
          <w:sz w:val="24"/>
          <w:szCs w:val="24"/>
        </w:rPr>
        <w:t>CFC i,t</w:t>
      </w:r>
      <w:r w:rsidRPr="00C108C8">
        <w:rPr>
          <w:sz w:val="24"/>
          <w:szCs w:val="24"/>
        </w:rPr>
        <w:t xml:space="preserve"> +b</w:t>
      </w:r>
      <w:r w:rsidRPr="00C108C8">
        <w:rPr>
          <w:sz w:val="20"/>
          <w:szCs w:val="20"/>
        </w:rPr>
        <w:t>11</w:t>
      </w:r>
      <w:r w:rsidRPr="00C108C8">
        <w:rPr>
          <w:sz w:val="24"/>
          <w:szCs w:val="24"/>
        </w:rPr>
        <w:t xml:space="preserve"> </w:t>
      </w:r>
      <w:r w:rsidRPr="00BB05EF">
        <w:rPr>
          <w:b/>
          <w:sz w:val="24"/>
          <w:szCs w:val="24"/>
        </w:rPr>
        <w:t>TPIBi,t</w:t>
      </w:r>
      <w:r w:rsidRPr="00C108C8">
        <w:rPr>
          <w:sz w:val="24"/>
          <w:szCs w:val="24"/>
        </w:rPr>
        <w:t xml:space="preserve"> +b</w:t>
      </w:r>
      <w:r w:rsidRPr="00BB05EF">
        <w:rPr>
          <w:sz w:val="20"/>
          <w:szCs w:val="20"/>
        </w:rPr>
        <w:t xml:space="preserve">12 </w:t>
      </w:r>
      <w:r w:rsidRPr="00BB05EF">
        <w:rPr>
          <w:b/>
          <w:sz w:val="24"/>
          <w:szCs w:val="24"/>
        </w:rPr>
        <w:t>TINFi,t +</w:t>
      </w:r>
      <w:r w:rsidRPr="00C108C8">
        <w:rPr>
          <w:sz w:val="24"/>
          <w:szCs w:val="24"/>
        </w:rPr>
        <w:t xml:space="preserve">Ei,t </w:t>
      </w:r>
    </w:p>
    <w:p w:rsidR="00724FAD" w:rsidRDefault="00724FAD" w:rsidP="00724FAD">
      <w:pPr>
        <w:pStyle w:val="Paragraphedeliste"/>
      </w:pPr>
    </w:p>
    <w:p w:rsidR="00724FAD" w:rsidRDefault="00724FAD" w:rsidP="00724FAD">
      <w:pPr>
        <w:pStyle w:val="Paragraphedeliste"/>
      </w:pPr>
      <w:r>
        <w:t>B</w:t>
      </w:r>
      <w:r w:rsidRPr="00A23EF9">
        <w:rPr>
          <w:sz w:val="16"/>
          <w:szCs w:val="16"/>
        </w:rPr>
        <w:t>0</w:t>
      </w:r>
      <w:r>
        <w:t xml:space="preserve">=constant </w:t>
      </w:r>
    </w:p>
    <w:p w:rsidR="00724FAD" w:rsidRDefault="00724FAD" w:rsidP="00724FAD">
      <w:pPr>
        <w:pStyle w:val="Paragraphedeliste"/>
      </w:pPr>
      <w:r>
        <w:t xml:space="preserve">TLA = total credits / total assets </w:t>
      </w:r>
    </w:p>
    <w:p w:rsidR="00724FAD" w:rsidRDefault="00724FAD" w:rsidP="00724FAD">
      <w:pPr>
        <w:pStyle w:val="Paragraphedeliste"/>
      </w:pPr>
      <w:r>
        <w:t xml:space="preserve">ROA = net profit / total assets </w:t>
      </w:r>
    </w:p>
    <w:p w:rsidR="00724FAD" w:rsidRDefault="00724FAD" w:rsidP="00724FAD">
      <w:pPr>
        <w:pStyle w:val="Paragraphedeliste"/>
      </w:pPr>
      <w:r>
        <w:t xml:space="preserve">ROE = Net profit / total equity </w:t>
      </w:r>
    </w:p>
    <w:p w:rsidR="00724FAD" w:rsidRDefault="00724FAD" w:rsidP="00724FAD">
      <w:pPr>
        <w:pStyle w:val="Paragraphedeliste"/>
      </w:pPr>
      <w:r>
        <w:t xml:space="preserve">NIM = net interest margin / total assets </w:t>
      </w:r>
    </w:p>
    <w:p w:rsidR="00724FAD" w:rsidRDefault="00724FAD" w:rsidP="00724FAD">
      <w:pPr>
        <w:pStyle w:val="Paragraphedeliste"/>
        <w:rPr>
          <w:lang w:val="en-US"/>
        </w:rPr>
      </w:pPr>
      <w:r w:rsidRPr="00D65AA3">
        <w:rPr>
          <w:lang w:val="en-US"/>
        </w:rPr>
        <w:t xml:space="preserve">Size = log of total assets </w:t>
      </w:r>
    </w:p>
    <w:p w:rsidR="00724FAD" w:rsidRDefault="00724FAD" w:rsidP="00724FAD">
      <w:pPr>
        <w:pStyle w:val="Paragraphedeliste"/>
        <w:rPr>
          <w:lang w:val="en-US"/>
        </w:rPr>
      </w:pPr>
      <w:r>
        <w:rPr>
          <w:lang w:val="en-US"/>
        </w:rPr>
        <w:t xml:space="preserve">CAP= equity / total assets </w:t>
      </w:r>
    </w:p>
    <w:p w:rsidR="00724FAD" w:rsidRDefault="00724FAD" w:rsidP="00724FAD">
      <w:pPr>
        <w:pStyle w:val="Paragraphedeliste"/>
        <w:rPr>
          <w:lang w:val="en-US"/>
        </w:rPr>
      </w:pPr>
      <w:r>
        <w:rPr>
          <w:lang w:val="en-US"/>
        </w:rPr>
        <w:t xml:space="preserve">ALA= asset liquid / total assets </w:t>
      </w:r>
    </w:p>
    <w:p w:rsidR="00724FAD" w:rsidRDefault="00724FAD" w:rsidP="00724FAD">
      <w:pPr>
        <w:pStyle w:val="Paragraphedeliste"/>
        <w:rPr>
          <w:lang w:val="en-US"/>
        </w:rPr>
      </w:pPr>
      <w:r>
        <w:rPr>
          <w:lang w:val="en-US"/>
        </w:rPr>
        <w:t xml:space="preserve">CD= Total credits / total deposits </w:t>
      </w:r>
    </w:p>
    <w:p w:rsidR="00724FAD" w:rsidRDefault="00724FAD" w:rsidP="00724FAD">
      <w:pPr>
        <w:pStyle w:val="Paragraphedeliste"/>
        <w:rPr>
          <w:lang w:val="en-US"/>
        </w:rPr>
      </w:pPr>
      <w:r>
        <w:rPr>
          <w:lang w:val="en-US"/>
        </w:rPr>
        <w:t xml:space="preserve">CEA= operating costs / total assets </w:t>
      </w:r>
    </w:p>
    <w:p w:rsidR="00724FAD" w:rsidRPr="00A23EF9" w:rsidRDefault="00724FAD" w:rsidP="00724FAD">
      <w:pPr>
        <w:pStyle w:val="Paragraphedeliste"/>
      </w:pPr>
      <w:r w:rsidRPr="00A23EF9">
        <w:t xml:space="preserve">T deposit = Total deposits / total assets </w:t>
      </w:r>
    </w:p>
    <w:p w:rsidR="00724FAD" w:rsidRPr="00C108C8" w:rsidRDefault="00724FAD" w:rsidP="00724FAD">
      <w:pPr>
        <w:pStyle w:val="Paragraphedeliste"/>
        <w:rPr>
          <w:lang w:val="en-US"/>
        </w:rPr>
      </w:pPr>
      <w:r w:rsidRPr="00C108C8">
        <w:rPr>
          <w:lang w:val="en-US"/>
        </w:rPr>
        <w:t xml:space="preserve">CFC = Financial expenses / Total credit </w:t>
      </w:r>
    </w:p>
    <w:p w:rsidR="00724FAD" w:rsidRDefault="00724FAD" w:rsidP="00724FAD">
      <w:pPr>
        <w:pStyle w:val="Paragraphedeliste"/>
        <w:rPr>
          <w:lang w:val="en-US"/>
        </w:rPr>
      </w:pPr>
    </w:p>
    <w:p w:rsidR="00724FAD" w:rsidRPr="00C108C8" w:rsidRDefault="00724FAD" w:rsidP="00724FAD">
      <w:pPr>
        <w:pStyle w:val="Paragraphedeliste"/>
        <w:rPr>
          <w:lang w:val="en-US"/>
        </w:rPr>
      </w:pPr>
      <w:r>
        <w:rPr>
          <w:lang w:val="en-US"/>
        </w:rPr>
        <w:t>T</w:t>
      </w:r>
      <w:r w:rsidRPr="00C108C8">
        <w:rPr>
          <w:lang w:val="en-US"/>
        </w:rPr>
        <w:t xml:space="preserve">PIB =Economic growth </w:t>
      </w:r>
    </w:p>
    <w:p w:rsidR="00724FAD" w:rsidRDefault="00724FAD" w:rsidP="00724FAD">
      <w:pPr>
        <w:pStyle w:val="Paragraphedeliste"/>
        <w:rPr>
          <w:lang w:val="en-US"/>
        </w:rPr>
      </w:pPr>
      <w:r>
        <w:rPr>
          <w:lang w:val="en-US"/>
        </w:rPr>
        <w:t xml:space="preserve">TINF= rate of inflation </w:t>
      </w:r>
    </w:p>
    <w:p w:rsidR="00724FAD" w:rsidRDefault="00724FAD" w:rsidP="00724FAD">
      <w:pPr>
        <w:pStyle w:val="Paragraphedeliste"/>
        <w:rPr>
          <w:lang w:val="en-US"/>
        </w:rPr>
      </w:pPr>
      <w:r>
        <w:rPr>
          <w:lang w:val="en-US"/>
        </w:rPr>
        <w:t xml:space="preserve">E= Error term </w:t>
      </w:r>
    </w:p>
    <w:p w:rsidR="00724FAD" w:rsidRDefault="00724FAD" w:rsidP="00724FAD">
      <w:pPr>
        <w:pStyle w:val="Paragraphedeliste"/>
        <w:rPr>
          <w:lang w:val="en-US"/>
        </w:rPr>
      </w:pPr>
      <w:r>
        <w:rPr>
          <w:lang w:val="en-US"/>
        </w:rPr>
        <w:t xml:space="preserve">i= bank   t= time </w:t>
      </w:r>
    </w:p>
    <w:p w:rsidR="00724FAD" w:rsidRDefault="00724FAD" w:rsidP="00724FAD">
      <w:pPr>
        <w:pStyle w:val="Paragraphedeliste"/>
        <w:rPr>
          <w:lang w:val="en-US"/>
        </w:rPr>
      </w:pPr>
    </w:p>
    <w:p w:rsidR="00724FAD" w:rsidRPr="00466B7B" w:rsidRDefault="00724FAD" w:rsidP="00724FAD">
      <w:pPr>
        <w:pStyle w:val="Paragraphedeliste"/>
        <w:rPr>
          <w:b/>
          <w:sz w:val="28"/>
          <w:szCs w:val="28"/>
          <w:lang w:val="en-US"/>
        </w:rPr>
      </w:pPr>
      <w:r w:rsidRPr="00466B7B">
        <w:rPr>
          <w:b/>
          <w:sz w:val="28"/>
          <w:szCs w:val="28"/>
          <w:lang w:val="en-US"/>
        </w:rPr>
        <w:t xml:space="preserve">D-Descriptive statistics </w:t>
      </w:r>
    </w:p>
    <w:p w:rsidR="00724FAD" w:rsidRPr="00466B7B" w:rsidRDefault="00724FAD" w:rsidP="00724FAD">
      <w:pPr>
        <w:pStyle w:val="Paragraphedeliste"/>
        <w:rPr>
          <w:b/>
          <w:sz w:val="28"/>
          <w:szCs w:val="28"/>
          <w:lang w:val="en-US"/>
        </w:rPr>
      </w:pPr>
    </w:p>
    <w:p w:rsidR="009231FE" w:rsidRDefault="009231FE" w:rsidP="00724FAD">
      <w:pPr>
        <w:pStyle w:val="Paragraphedeliste"/>
        <w:rPr>
          <w:b/>
          <w:sz w:val="28"/>
          <w:szCs w:val="28"/>
          <w:lang w:val="en-US"/>
        </w:rPr>
      </w:pPr>
    </w:p>
    <w:p w:rsidR="009231FE" w:rsidRDefault="009231FE" w:rsidP="00724FAD">
      <w:pPr>
        <w:pStyle w:val="Paragraphedeliste"/>
        <w:rPr>
          <w:b/>
          <w:sz w:val="28"/>
          <w:szCs w:val="28"/>
          <w:lang w:val="en-US"/>
        </w:rPr>
      </w:pPr>
    </w:p>
    <w:p w:rsidR="009231FE" w:rsidRDefault="009231FE" w:rsidP="00724FAD">
      <w:pPr>
        <w:pStyle w:val="Paragraphedeliste"/>
        <w:rPr>
          <w:b/>
          <w:sz w:val="28"/>
          <w:szCs w:val="28"/>
          <w:lang w:val="en-US"/>
        </w:rPr>
      </w:pPr>
    </w:p>
    <w:p w:rsidR="00724FAD" w:rsidRPr="00466B7B" w:rsidRDefault="00724FAD" w:rsidP="00724FAD">
      <w:pPr>
        <w:pStyle w:val="Paragraphedeliste"/>
        <w:rPr>
          <w:b/>
          <w:sz w:val="28"/>
          <w:szCs w:val="28"/>
          <w:lang w:val="en-US"/>
        </w:rPr>
      </w:pPr>
      <w:r w:rsidRPr="00466B7B">
        <w:rPr>
          <w:b/>
          <w:sz w:val="28"/>
          <w:szCs w:val="28"/>
          <w:lang w:val="en-US"/>
        </w:rPr>
        <w:t xml:space="preserve">Table1:  Descriptive statistics </w:t>
      </w:r>
    </w:p>
    <w:tbl>
      <w:tblPr>
        <w:tblStyle w:val="Grilledutableau"/>
        <w:tblW w:w="0" w:type="auto"/>
        <w:tblInd w:w="720" w:type="dxa"/>
        <w:tblLook w:val="04A0"/>
      </w:tblPr>
      <w:tblGrid>
        <w:gridCol w:w="1406"/>
        <w:gridCol w:w="1508"/>
        <w:gridCol w:w="1361"/>
        <w:gridCol w:w="1422"/>
        <w:gridCol w:w="1431"/>
        <w:gridCol w:w="1440"/>
      </w:tblGrid>
      <w:tr w:rsidR="00724FAD" w:rsidTr="006558A5">
        <w:tc>
          <w:tcPr>
            <w:tcW w:w="1535" w:type="dxa"/>
          </w:tcPr>
          <w:p w:rsidR="00724FAD" w:rsidRDefault="00724FAD" w:rsidP="006558A5">
            <w:pPr>
              <w:pStyle w:val="Paragraphedeliste"/>
              <w:ind w:left="0"/>
              <w:rPr>
                <w:lang w:val="en-US"/>
              </w:rPr>
            </w:pPr>
          </w:p>
        </w:tc>
        <w:tc>
          <w:tcPr>
            <w:tcW w:w="1535" w:type="dxa"/>
          </w:tcPr>
          <w:p w:rsidR="00724FAD" w:rsidRPr="00BD3FC2" w:rsidRDefault="00724FAD" w:rsidP="006558A5">
            <w:pPr>
              <w:pStyle w:val="Paragraphedeliste"/>
              <w:ind w:left="0"/>
              <w:rPr>
                <w:b/>
                <w:lang w:val="en-US"/>
              </w:rPr>
            </w:pPr>
            <w:r w:rsidRPr="00BD3FC2">
              <w:rPr>
                <w:b/>
                <w:lang w:val="en-US"/>
              </w:rPr>
              <w:t>Observations</w:t>
            </w:r>
          </w:p>
        </w:tc>
        <w:tc>
          <w:tcPr>
            <w:tcW w:w="1535" w:type="dxa"/>
          </w:tcPr>
          <w:p w:rsidR="00724FAD" w:rsidRPr="00BD3FC2" w:rsidRDefault="00724FAD" w:rsidP="006558A5">
            <w:pPr>
              <w:pStyle w:val="Paragraphedeliste"/>
              <w:ind w:left="0"/>
              <w:rPr>
                <w:b/>
                <w:lang w:val="en-US"/>
              </w:rPr>
            </w:pPr>
            <w:r w:rsidRPr="00BD3FC2">
              <w:rPr>
                <w:b/>
                <w:lang w:val="en-US"/>
              </w:rPr>
              <w:t>Mean</w:t>
            </w:r>
          </w:p>
        </w:tc>
        <w:tc>
          <w:tcPr>
            <w:tcW w:w="1535" w:type="dxa"/>
          </w:tcPr>
          <w:p w:rsidR="00724FAD" w:rsidRPr="00BD3FC2" w:rsidRDefault="00724FAD" w:rsidP="006558A5">
            <w:pPr>
              <w:pStyle w:val="Paragraphedeliste"/>
              <w:ind w:left="0"/>
              <w:rPr>
                <w:b/>
                <w:lang w:val="en-US"/>
              </w:rPr>
            </w:pPr>
            <w:r w:rsidRPr="00BD3FC2">
              <w:rPr>
                <w:b/>
                <w:lang w:val="en-US"/>
              </w:rPr>
              <w:t xml:space="preserve">Standard deviation </w:t>
            </w:r>
          </w:p>
        </w:tc>
        <w:tc>
          <w:tcPr>
            <w:tcW w:w="1536" w:type="dxa"/>
          </w:tcPr>
          <w:p w:rsidR="00724FAD" w:rsidRPr="00BD3FC2" w:rsidRDefault="00724FAD" w:rsidP="006558A5">
            <w:pPr>
              <w:pStyle w:val="Paragraphedeliste"/>
              <w:ind w:left="0"/>
              <w:rPr>
                <w:b/>
                <w:lang w:val="en-US"/>
              </w:rPr>
            </w:pPr>
            <w:r w:rsidRPr="00BD3FC2">
              <w:rPr>
                <w:b/>
                <w:lang w:val="en-US"/>
              </w:rPr>
              <w:t xml:space="preserve">Minimum </w:t>
            </w:r>
          </w:p>
        </w:tc>
        <w:tc>
          <w:tcPr>
            <w:tcW w:w="1536" w:type="dxa"/>
          </w:tcPr>
          <w:p w:rsidR="00724FAD" w:rsidRPr="00BD3FC2" w:rsidRDefault="00724FAD" w:rsidP="006558A5">
            <w:pPr>
              <w:pStyle w:val="Paragraphedeliste"/>
              <w:ind w:left="0"/>
              <w:rPr>
                <w:b/>
                <w:lang w:val="en-US"/>
              </w:rPr>
            </w:pPr>
            <w:r w:rsidRPr="00BD3FC2">
              <w:rPr>
                <w:b/>
                <w:lang w:val="en-US"/>
              </w:rPr>
              <w:t>Maximum</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ALA</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0.028</w:t>
            </w:r>
          </w:p>
        </w:tc>
        <w:tc>
          <w:tcPr>
            <w:tcW w:w="1535" w:type="dxa"/>
          </w:tcPr>
          <w:p w:rsidR="00724FAD" w:rsidRDefault="00724FAD" w:rsidP="006558A5">
            <w:pPr>
              <w:pStyle w:val="Paragraphedeliste"/>
              <w:ind w:left="0"/>
              <w:rPr>
                <w:lang w:val="en-US"/>
              </w:rPr>
            </w:pPr>
            <w:r>
              <w:rPr>
                <w:lang w:val="en-US"/>
              </w:rPr>
              <w:t>0.0225</w:t>
            </w:r>
          </w:p>
        </w:tc>
        <w:tc>
          <w:tcPr>
            <w:tcW w:w="1536" w:type="dxa"/>
          </w:tcPr>
          <w:p w:rsidR="00724FAD" w:rsidRDefault="00724FAD" w:rsidP="006558A5">
            <w:pPr>
              <w:pStyle w:val="Paragraphedeliste"/>
              <w:ind w:left="0"/>
              <w:rPr>
                <w:lang w:val="en-US"/>
              </w:rPr>
            </w:pPr>
            <w:r>
              <w:rPr>
                <w:lang w:val="en-US"/>
              </w:rPr>
              <w:t>0.0028</w:t>
            </w:r>
          </w:p>
        </w:tc>
        <w:tc>
          <w:tcPr>
            <w:tcW w:w="1536" w:type="dxa"/>
          </w:tcPr>
          <w:p w:rsidR="00724FAD" w:rsidRDefault="00724FAD" w:rsidP="006558A5">
            <w:pPr>
              <w:pStyle w:val="Paragraphedeliste"/>
              <w:ind w:left="0"/>
              <w:rPr>
                <w:lang w:val="en-US"/>
              </w:rPr>
            </w:pPr>
            <w:r>
              <w:rPr>
                <w:lang w:val="en-US"/>
              </w:rPr>
              <w:t>0.10</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CD</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1.19</w:t>
            </w:r>
          </w:p>
        </w:tc>
        <w:tc>
          <w:tcPr>
            <w:tcW w:w="1535" w:type="dxa"/>
          </w:tcPr>
          <w:p w:rsidR="00724FAD" w:rsidRDefault="00724FAD" w:rsidP="006558A5">
            <w:pPr>
              <w:pStyle w:val="Paragraphedeliste"/>
              <w:ind w:left="0"/>
              <w:rPr>
                <w:lang w:val="en-US"/>
              </w:rPr>
            </w:pPr>
            <w:r>
              <w:rPr>
                <w:lang w:val="en-US"/>
              </w:rPr>
              <w:t>0.724</w:t>
            </w:r>
          </w:p>
        </w:tc>
        <w:tc>
          <w:tcPr>
            <w:tcW w:w="1536" w:type="dxa"/>
          </w:tcPr>
          <w:p w:rsidR="00724FAD" w:rsidRDefault="00724FAD" w:rsidP="006558A5">
            <w:pPr>
              <w:pStyle w:val="Paragraphedeliste"/>
              <w:ind w:left="0"/>
              <w:rPr>
                <w:lang w:val="en-US"/>
              </w:rPr>
            </w:pPr>
            <w:r>
              <w:rPr>
                <w:lang w:val="en-US"/>
              </w:rPr>
              <w:t>0.47</w:t>
            </w:r>
          </w:p>
        </w:tc>
        <w:tc>
          <w:tcPr>
            <w:tcW w:w="1536" w:type="dxa"/>
          </w:tcPr>
          <w:p w:rsidR="00724FAD" w:rsidRDefault="00724FAD" w:rsidP="006558A5">
            <w:pPr>
              <w:pStyle w:val="Paragraphedeliste"/>
              <w:ind w:left="0"/>
              <w:rPr>
                <w:lang w:val="en-US"/>
              </w:rPr>
            </w:pPr>
            <w:r>
              <w:rPr>
                <w:lang w:val="en-US"/>
              </w:rPr>
              <w:t>8.40</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TLA</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0.77</w:t>
            </w:r>
          </w:p>
        </w:tc>
        <w:tc>
          <w:tcPr>
            <w:tcW w:w="1535" w:type="dxa"/>
          </w:tcPr>
          <w:p w:rsidR="00724FAD" w:rsidRDefault="00724FAD" w:rsidP="006558A5">
            <w:pPr>
              <w:pStyle w:val="Paragraphedeliste"/>
              <w:ind w:left="0"/>
              <w:rPr>
                <w:lang w:val="en-US"/>
              </w:rPr>
            </w:pPr>
            <w:r>
              <w:rPr>
                <w:lang w:val="en-US"/>
              </w:rPr>
              <w:t>0.1142</w:t>
            </w:r>
          </w:p>
        </w:tc>
        <w:tc>
          <w:tcPr>
            <w:tcW w:w="1536" w:type="dxa"/>
          </w:tcPr>
          <w:p w:rsidR="00724FAD" w:rsidRDefault="00724FAD" w:rsidP="006558A5">
            <w:pPr>
              <w:pStyle w:val="Paragraphedeliste"/>
              <w:ind w:left="0"/>
              <w:rPr>
                <w:lang w:val="en-US"/>
              </w:rPr>
            </w:pPr>
            <w:r>
              <w:rPr>
                <w:lang w:val="en-US"/>
              </w:rPr>
              <w:t>0.12</w:t>
            </w:r>
          </w:p>
        </w:tc>
        <w:tc>
          <w:tcPr>
            <w:tcW w:w="1536" w:type="dxa"/>
          </w:tcPr>
          <w:p w:rsidR="00724FAD" w:rsidRDefault="00724FAD" w:rsidP="006558A5">
            <w:pPr>
              <w:pStyle w:val="Paragraphedeliste"/>
              <w:ind w:left="0"/>
              <w:rPr>
                <w:lang w:val="en-US"/>
              </w:rPr>
            </w:pPr>
            <w:r>
              <w:rPr>
                <w:lang w:val="en-US"/>
              </w:rPr>
              <w:t>0.9817</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 xml:space="preserve">ROA </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0.012</w:t>
            </w:r>
          </w:p>
        </w:tc>
        <w:tc>
          <w:tcPr>
            <w:tcW w:w="1535" w:type="dxa"/>
          </w:tcPr>
          <w:p w:rsidR="00724FAD" w:rsidRDefault="00724FAD" w:rsidP="006558A5">
            <w:pPr>
              <w:pStyle w:val="Paragraphedeliste"/>
              <w:ind w:left="0"/>
              <w:rPr>
                <w:lang w:val="en-US"/>
              </w:rPr>
            </w:pPr>
            <w:r>
              <w:rPr>
                <w:lang w:val="en-US"/>
              </w:rPr>
              <w:t>0.0094</w:t>
            </w:r>
          </w:p>
        </w:tc>
        <w:tc>
          <w:tcPr>
            <w:tcW w:w="1536" w:type="dxa"/>
          </w:tcPr>
          <w:p w:rsidR="00724FAD" w:rsidRDefault="00724FAD" w:rsidP="006558A5">
            <w:pPr>
              <w:pStyle w:val="Paragraphedeliste"/>
              <w:ind w:left="0"/>
              <w:rPr>
                <w:lang w:val="en-US"/>
              </w:rPr>
            </w:pPr>
            <w:r>
              <w:rPr>
                <w:lang w:val="en-US"/>
              </w:rPr>
              <w:t>0.0088</w:t>
            </w:r>
          </w:p>
        </w:tc>
        <w:tc>
          <w:tcPr>
            <w:tcW w:w="1536" w:type="dxa"/>
          </w:tcPr>
          <w:p w:rsidR="00724FAD" w:rsidRDefault="00724FAD" w:rsidP="006558A5">
            <w:pPr>
              <w:pStyle w:val="Paragraphedeliste"/>
              <w:ind w:left="0"/>
              <w:rPr>
                <w:lang w:val="en-US"/>
              </w:rPr>
            </w:pPr>
            <w:r>
              <w:rPr>
                <w:lang w:val="en-US"/>
              </w:rPr>
              <w:t>0.0975</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ROE</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0.111</w:t>
            </w:r>
          </w:p>
        </w:tc>
        <w:tc>
          <w:tcPr>
            <w:tcW w:w="1535" w:type="dxa"/>
          </w:tcPr>
          <w:p w:rsidR="00724FAD" w:rsidRDefault="00724FAD" w:rsidP="006558A5">
            <w:pPr>
              <w:pStyle w:val="Paragraphedeliste"/>
              <w:ind w:left="0"/>
              <w:rPr>
                <w:lang w:val="en-US"/>
              </w:rPr>
            </w:pPr>
            <w:r>
              <w:rPr>
                <w:lang w:val="en-US"/>
              </w:rPr>
              <w:t>0.0631</w:t>
            </w:r>
          </w:p>
        </w:tc>
        <w:tc>
          <w:tcPr>
            <w:tcW w:w="1536" w:type="dxa"/>
          </w:tcPr>
          <w:p w:rsidR="00724FAD" w:rsidRDefault="00724FAD" w:rsidP="006558A5">
            <w:pPr>
              <w:pStyle w:val="Paragraphedeliste"/>
              <w:ind w:left="0"/>
              <w:rPr>
                <w:lang w:val="en-US"/>
              </w:rPr>
            </w:pPr>
            <w:r>
              <w:rPr>
                <w:lang w:val="en-US"/>
              </w:rPr>
              <w:t>0.0029</w:t>
            </w:r>
          </w:p>
        </w:tc>
        <w:tc>
          <w:tcPr>
            <w:tcW w:w="1536" w:type="dxa"/>
          </w:tcPr>
          <w:p w:rsidR="00724FAD" w:rsidRDefault="00724FAD" w:rsidP="006558A5">
            <w:pPr>
              <w:pStyle w:val="Paragraphedeliste"/>
              <w:ind w:left="0"/>
              <w:rPr>
                <w:lang w:val="en-US"/>
              </w:rPr>
            </w:pPr>
            <w:r>
              <w:rPr>
                <w:lang w:val="en-US"/>
              </w:rPr>
              <w:t>0.2976</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NIM</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0.026</w:t>
            </w:r>
          </w:p>
        </w:tc>
        <w:tc>
          <w:tcPr>
            <w:tcW w:w="1535" w:type="dxa"/>
          </w:tcPr>
          <w:p w:rsidR="00724FAD" w:rsidRDefault="00724FAD" w:rsidP="006558A5">
            <w:pPr>
              <w:pStyle w:val="Paragraphedeliste"/>
              <w:ind w:left="0"/>
              <w:rPr>
                <w:lang w:val="en-US"/>
              </w:rPr>
            </w:pPr>
            <w:r>
              <w:rPr>
                <w:lang w:val="en-US"/>
              </w:rPr>
              <w:t>0.0132</w:t>
            </w:r>
          </w:p>
        </w:tc>
        <w:tc>
          <w:tcPr>
            <w:tcW w:w="1536" w:type="dxa"/>
          </w:tcPr>
          <w:p w:rsidR="00724FAD" w:rsidRDefault="00724FAD" w:rsidP="006558A5">
            <w:pPr>
              <w:pStyle w:val="Paragraphedeliste"/>
              <w:ind w:left="0"/>
              <w:rPr>
                <w:lang w:val="en-US"/>
              </w:rPr>
            </w:pPr>
            <w:r>
              <w:rPr>
                <w:lang w:val="en-US"/>
              </w:rPr>
              <w:t>0.0083</w:t>
            </w:r>
          </w:p>
        </w:tc>
        <w:tc>
          <w:tcPr>
            <w:tcW w:w="1536" w:type="dxa"/>
          </w:tcPr>
          <w:p w:rsidR="00724FAD" w:rsidRDefault="00724FAD" w:rsidP="006558A5">
            <w:pPr>
              <w:pStyle w:val="Paragraphedeliste"/>
              <w:ind w:left="0"/>
              <w:rPr>
                <w:lang w:val="en-US"/>
              </w:rPr>
            </w:pPr>
            <w:r>
              <w:rPr>
                <w:lang w:val="en-US"/>
              </w:rPr>
              <w:t>0.16391</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 xml:space="preserve">Size </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15.35</w:t>
            </w:r>
          </w:p>
        </w:tc>
        <w:tc>
          <w:tcPr>
            <w:tcW w:w="1535" w:type="dxa"/>
          </w:tcPr>
          <w:p w:rsidR="00724FAD" w:rsidRDefault="00724FAD" w:rsidP="006558A5">
            <w:pPr>
              <w:pStyle w:val="Paragraphedeliste"/>
              <w:ind w:left="0"/>
              <w:rPr>
                <w:lang w:val="en-US"/>
              </w:rPr>
            </w:pPr>
            <w:r>
              <w:rPr>
                <w:lang w:val="en-US"/>
              </w:rPr>
              <w:t>0.92</w:t>
            </w:r>
          </w:p>
        </w:tc>
        <w:tc>
          <w:tcPr>
            <w:tcW w:w="1536" w:type="dxa"/>
          </w:tcPr>
          <w:p w:rsidR="00724FAD" w:rsidRDefault="00724FAD" w:rsidP="006558A5">
            <w:pPr>
              <w:pStyle w:val="Paragraphedeliste"/>
              <w:ind w:left="0"/>
              <w:rPr>
                <w:lang w:val="en-US"/>
              </w:rPr>
            </w:pPr>
            <w:r>
              <w:rPr>
                <w:lang w:val="en-US"/>
              </w:rPr>
              <w:t>12.52</w:t>
            </w:r>
          </w:p>
        </w:tc>
        <w:tc>
          <w:tcPr>
            <w:tcW w:w="1536" w:type="dxa"/>
          </w:tcPr>
          <w:p w:rsidR="00724FAD" w:rsidRDefault="00724FAD" w:rsidP="006558A5">
            <w:pPr>
              <w:pStyle w:val="Paragraphedeliste"/>
              <w:ind w:left="0"/>
              <w:rPr>
                <w:lang w:val="en-US"/>
              </w:rPr>
            </w:pPr>
            <w:r>
              <w:rPr>
                <w:lang w:val="en-US"/>
              </w:rPr>
              <w:t>18.29</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CAP</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0.1051</w:t>
            </w:r>
          </w:p>
        </w:tc>
        <w:tc>
          <w:tcPr>
            <w:tcW w:w="1535" w:type="dxa"/>
          </w:tcPr>
          <w:p w:rsidR="00724FAD" w:rsidRDefault="00724FAD" w:rsidP="006558A5">
            <w:pPr>
              <w:pStyle w:val="Paragraphedeliste"/>
              <w:ind w:left="0"/>
              <w:rPr>
                <w:lang w:val="en-US"/>
              </w:rPr>
            </w:pPr>
            <w:r>
              <w:rPr>
                <w:lang w:val="en-US"/>
              </w:rPr>
              <w:t>0.063</w:t>
            </w:r>
          </w:p>
        </w:tc>
        <w:tc>
          <w:tcPr>
            <w:tcW w:w="1536" w:type="dxa"/>
          </w:tcPr>
          <w:p w:rsidR="00724FAD" w:rsidRDefault="00724FAD" w:rsidP="006558A5">
            <w:pPr>
              <w:pStyle w:val="Paragraphedeliste"/>
              <w:ind w:left="0"/>
              <w:rPr>
                <w:lang w:val="en-US"/>
              </w:rPr>
            </w:pPr>
            <w:r>
              <w:rPr>
                <w:lang w:val="en-US"/>
              </w:rPr>
              <w:t>0.0086</w:t>
            </w:r>
          </w:p>
        </w:tc>
        <w:tc>
          <w:tcPr>
            <w:tcW w:w="1536" w:type="dxa"/>
          </w:tcPr>
          <w:p w:rsidR="00724FAD" w:rsidRDefault="00724FAD" w:rsidP="006558A5">
            <w:pPr>
              <w:pStyle w:val="Paragraphedeliste"/>
              <w:ind w:left="0"/>
              <w:rPr>
                <w:lang w:val="en-US"/>
              </w:rPr>
            </w:pPr>
            <w:r>
              <w:rPr>
                <w:lang w:val="en-US"/>
              </w:rPr>
              <w:t>0.498</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CEA</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0.032</w:t>
            </w:r>
          </w:p>
        </w:tc>
        <w:tc>
          <w:tcPr>
            <w:tcW w:w="1535" w:type="dxa"/>
          </w:tcPr>
          <w:p w:rsidR="00724FAD" w:rsidRDefault="00724FAD" w:rsidP="006558A5">
            <w:pPr>
              <w:pStyle w:val="Paragraphedeliste"/>
              <w:ind w:left="0"/>
              <w:rPr>
                <w:lang w:val="en-US"/>
              </w:rPr>
            </w:pPr>
            <w:r>
              <w:rPr>
                <w:lang w:val="en-US"/>
              </w:rPr>
              <w:t>0.026</w:t>
            </w:r>
          </w:p>
        </w:tc>
        <w:tc>
          <w:tcPr>
            <w:tcW w:w="1536" w:type="dxa"/>
          </w:tcPr>
          <w:p w:rsidR="00724FAD" w:rsidRDefault="00724FAD" w:rsidP="006558A5">
            <w:pPr>
              <w:pStyle w:val="Paragraphedeliste"/>
              <w:ind w:left="0"/>
              <w:rPr>
                <w:lang w:val="en-US"/>
              </w:rPr>
            </w:pPr>
            <w:r>
              <w:rPr>
                <w:lang w:val="en-US"/>
              </w:rPr>
              <w:t>0.00023</w:t>
            </w:r>
          </w:p>
        </w:tc>
        <w:tc>
          <w:tcPr>
            <w:tcW w:w="1536" w:type="dxa"/>
          </w:tcPr>
          <w:p w:rsidR="00724FAD" w:rsidRDefault="00724FAD" w:rsidP="006558A5">
            <w:pPr>
              <w:pStyle w:val="Paragraphedeliste"/>
              <w:ind w:left="0"/>
              <w:rPr>
                <w:lang w:val="en-US"/>
              </w:rPr>
            </w:pPr>
            <w:r>
              <w:rPr>
                <w:lang w:val="en-US"/>
              </w:rPr>
              <w:t>0.35</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CFC</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0.038</w:t>
            </w:r>
          </w:p>
        </w:tc>
        <w:tc>
          <w:tcPr>
            <w:tcW w:w="1535" w:type="dxa"/>
          </w:tcPr>
          <w:p w:rsidR="00724FAD" w:rsidRDefault="00724FAD" w:rsidP="006558A5">
            <w:pPr>
              <w:pStyle w:val="Paragraphedeliste"/>
              <w:ind w:left="0"/>
              <w:rPr>
                <w:lang w:val="en-US"/>
              </w:rPr>
            </w:pPr>
            <w:r>
              <w:rPr>
                <w:lang w:val="en-US"/>
              </w:rPr>
              <w:t>0.0153</w:t>
            </w:r>
          </w:p>
        </w:tc>
        <w:tc>
          <w:tcPr>
            <w:tcW w:w="1536" w:type="dxa"/>
          </w:tcPr>
          <w:p w:rsidR="00724FAD" w:rsidRDefault="00724FAD" w:rsidP="006558A5">
            <w:pPr>
              <w:pStyle w:val="Paragraphedeliste"/>
              <w:ind w:left="0"/>
              <w:rPr>
                <w:lang w:val="en-US"/>
              </w:rPr>
            </w:pPr>
            <w:r>
              <w:rPr>
                <w:lang w:val="en-US"/>
              </w:rPr>
              <w:t>0.018</w:t>
            </w:r>
          </w:p>
        </w:tc>
        <w:tc>
          <w:tcPr>
            <w:tcW w:w="1536" w:type="dxa"/>
          </w:tcPr>
          <w:p w:rsidR="00724FAD" w:rsidRDefault="00724FAD" w:rsidP="006558A5">
            <w:pPr>
              <w:pStyle w:val="Paragraphedeliste"/>
              <w:ind w:left="0"/>
              <w:rPr>
                <w:lang w:val="en-US"/>
              </w:rPr>
            </w:pPr>
            <w:r>
              <w:rPr>
                <w:lang w:val="en-US"/>
              </w:rPr>
              <w:t>0.1689</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 xml:space="preserve">Tdeposit </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0.76</w:t>
            </w:r>
          </w:p>
        </w:tc>
        <w:tc>
          <w:tcPr>
            <w:tcW w:w="1535" w:type="dxa"/>
          </w:tcPr>
          <w:p w:rsidR="00724FAD" w:rsidRDefault="00724FAD" w:rsidP="006558A5">
            <w:pPr>
              <w:pStyle w:val="Paragraphedeliste"/>
              <w:ind w:left="0"/>
              <w:rPr>
                <w:lang w:val="en-US"/>
              </w:rPr>
            </w:pPr>
            <w:r>
              <w:rPr>
                <w:lang w:val="en-US"/>
              </w:rPr>
              <w:t>0.11</w:t>
            </w:r>
          </w:p>
        </w:tc>
        <w:tc>
          <w:tcPr>
            <w:tcW w:w="1536" w:type="dxa"/>
          </w:tcPr>
          <w:p w:rsidR="00724FAD" w:rsidRDefault="00724FAD" w:rsidP="006558A5">
            <w:pPr>
              <w:pStyle w:val="Paragraphedeliste"/>
              <w:ind w:left="0"/>
              <w:rPr>
                <w:lang w:val="en-US"/>
              </w:rPr>
            </w:pPr>
            <w:r>
              <w:rPr>
                <w:lang w:val="en-US"/>
              </w:rPr>
              <w:t>0.099</w:t>
            </w:r>
          </w:p>
        </w:tc>
        <w:tc>
          <w:tcPr>
            <w:tcW w:w="1536" w:type="dxa"/>
          </w:tcPr>
          <w:p w:rsidR="00724FAD" w:rsidRDefault="00724FAD" w:rsidP="006558A5">
            <w:pPr>
              <w:pStyle w:val="Paragraphedeliste"/>
              <w:ind w:left="0"/>
              <w:rPr>
                <w:lang w:val="en-US"/>
              </w:rPr>
            </w:pPr>
            <w:r>
              <w:rPr>
                <w:lang w:val="en-US"/>
              </w:rPr>
              <w:t>0.956</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TPIB</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0.022</w:t>
            </w:r>
          </w:p>
        </w:tc>
        <w:tc>
          <w:tcPr>
            <w:tcW w:w="1535" w:type="dxa"/>
          </w:tcPr>
          <w:p w:rsidR="00724FAD" w:rsidRDefault="00724FAD" w:rsidP="006558A5">
            <w:pPr>
              <w:pStyle w:val="Paragraphedeliste"/>
              <w:ind w:left="0"/>
              <w:rPr>
                <w:lang w:val="en-US"/>
              </w:rPr>
            </w:pPr>
            <w:r>
              <w:rPr>
                <w:lang w:val="en-US"/>
              </w:rPr>
              <w:t>0.036</w:t>
            </w:r>
          </w:p>
        </w:tc>
        <w:tc>
          <w:tcPr>
            <w:tcW w:w="1536" w:type="dxa"/>
          </w:tcPr>
          <w:p w:rsidR="00724FAD" w:rsidRDefault="00724FAD" w:rsidP="006558A5">
            <w:pPr>
              <w:pStyle w:val="Paragraphedeliste"/>
              <w:ind w:left="0"/>
              <w:rPr>
                <w:lang w:val="en-US"/>
              </w:rPr>
            </w:pPr>
            <w:r>
              <w:rPr>
                <w:lang w:val="en-US"/>
              </w:rPr>
              <w:t>-0.1051</w:t>
            </w:r>
          </w:p>
        </w:tc>
        <w:tc>
          <w:tcPr>
            <w:tcW w:w="1536" w:type="dxa"/>
          </w:tcPr>
          <w:p w:rsidR="00724FAD" w:rsidRDefault="00724FAD" w:rsidP="006558A5">
            <w:pPr>
              <w:pStyle w:val="Paragraphedeliste"/>
              <w:ind w:left="0"/>
              <w:rPr>
                <w:lang w:val="en-US"/>
              </w:rPr>
            </w:pPr>
            <w:r>
              <w:rPr>
                <w:lang w:val="en-US"/>
              </w:rPr>
              <w:t>0.064</w:t>
            </w:r>
          </w:p>
        </w:tc>
      </w:tr>
      <w:tr w:rsidR="00724FAD" w:rsidTr="006558A5">
        <w:tc>
          <w:tcPr>
            <w:tcW w:w="1535" w:type="dxa"/>
          </w:tcPr>
          <w:p w:rsidR="00724FAD" w:rsidRPr="00BD3FC2" w:rsidRDefault="00724FAD" w:rsidP="006558A5">
            <w:pPr>
              <w:pStyle w:val="Paragraphedeliste"/>
              <w:ind w:left="0"/>
              <w:rPr>
                <w:b/>
                <w:lang w:val="en-US"/>
              </w:rPr>
            </w:pPr>
            <w:r w:rsidRPr="00BD3FC2">
              <w:rPr>
                <w:b/>
                <w:lang w:val="en-US"/>
              </w:rPr>
              <w:t>TINF</w:t>
            </w:r>
          </w:p>
        </w:tc>
        <w:tc>
          <w:tcPr>
            <w:tcW w:w="1535" w:type="dxa"/>
          </w:tcPr>
          <w:p w:rsidR="00724FAD" w:rsidRDefault="00724FAD" w:rsidP="006558A5">
            <w:pPr>
              <w:pStyle w:val="Paragraphedeliste"/>
              <w:ind w:left="0"/>
              <w:rPr>
                <w:lang w:val="en-US"/>
              </w:rPr>
            </w:pPr>
            <w:r>
              <w:rPr>
                <w:lang w:val="en-US"/>
              </w:rPr>
              <w:t>176</w:t>
            </w:r>
          </w:p>
        </w:tc>
        <w:tc>
          <w:tcPr>
            <w:tcW w:w="1535" w:type="dxa"/>
          </w:tcPr>
          <w:p w:rsidR="00724FAD" w:rsidRDefault="00724FAD" w:rsidP="006558A5">
            <w:pPr>
              <w:pStyle w:val="Paragraphedeliste"/>
              <w:ind w:left="0"/>
              <w:rPr>
                <w:lang w:val="en-US"/>
              </w:rPr>
            </w:pPr>
            <w:r>
              <w:rPr>
                <w:lang w:val="en-US"/>
              </w:rPr>
              <w:t>0.061</w:t>
            </w:r>
          </w:p>
        </w:tc>
        <w:tc>
          <w:tcPr>
            <w:tcW w:w="1535" w:type="dxa"/>
          </w:tcPr>
          <w:p w:rsidR="00724FAD" w:rsidRDefault="00724FAD" w:rsidP="006558A5">
            <w:pPr>
              <w:pStyle w:val="Paragraphedeliste"/>
              <w:ind w:left="0"/>
              <w:rPr>
                <w:lang w:val="en-US"/>
              </w:rPr>
            </w:pPr>
            <w:r>
              <w:rPr>
                <w:lang w:val="en-US"/>
              </w:rPr>
              <w:t>0.016</w:t>
            </w:r>
          </w:p>
        </w:tc>
        <w:tc>
          <w:tcPr>
            <w:tcW w:w="1536" w:type="dxa"/>
          </w:tcPr>
          <w:p w:rsidR="00724FAD" w:rsidRDefault="00724FAD" w:rsidP="006558A5">
            <w:pPr>
              <w:pStyle w:val="Paragraphedeliste"/>
              <w:ind w:left="0"/>
              <w:rPr>
                <w:lang w:val="en-US"/>
              </w:rPr>
            </w:pPr>
            <w:r>
              <w:rPr>
                <w:lang w:val="en-US"/>
              </w:rPr>
              <w:t>0.0340</w:t>
            </w:r>
          </w:p>
        </w:tc>
        <w:tc>
          <w:tcPr>
            <w:tcW w:w="1536" w:type="dxa"/>
          </w:tcPr>
          <w:p w:rsidR="00724FAD" w:rsidRDefault="00724FAD" w:rsidP="006558A5">
            <w:pPr>
              <w:pStyle w:val="Paragraphedeliste"/>
              <w:ind w:left="0"/>
              <w:rPr>
                <w:lang w:val="en-US"/>
              </w:rPr>
            </w:pPr>
            <w:r>
              <w:rPr>
                <w:lang w:val="en-US"/>
              </w:rPr>
              <w:t>0.08543</w:t>
            </w:r>
          </w:p>
        </w:tc>
      </w:tr>
    </w:tbl>
    <w:p w:rsidR="00724FAD" w:rsidRDefault="00724FAD" w:rsidP="00724FAD">
      <w:pPr>
        <w:pStyle w:val="Paragraphedeliste"/>
        <w:rPr>
          <w:lang w:val="en-US"/>
        </w:rPr>
      </w:pPr>
    </w:p>
    <w:p w:rsidR="00724FAD" w:rsidRDefault="00724FAD" w:rsidP="00724FAD">
      <w:pPr>
        <w:pStyle w:val="Paragraphedeliste"/>
        <w:rPr>
          <w:b/>
          <w:sz w:val="28"/>
          <w:szCs w:val="28"/>
          <w:lang w:val="en-US"/>
        </w:rPr>
      </w:pPr>
    </w:p>
    <w:p w:rsidR="00724FAD" w:rsidRDefault="00724FAD" w:rsidP="00724FAD">
      <w:pPr>
        <w:pStyle w:val="Paragraphedeliste"/>
        <w:rPr>
          <w:b/>
          <w:sz w:val="28"/>
          <w:szCs w:val="28"/>
          <w:lang w:val="en-US"/>
        </w:rPr>
      </w:pPr>
    </w:p>
    <w:p w:rsidR="00724FAD" w:rsidRDefault="00724FAD" w:rsidP="00724FAD">
      <w:pPr>
        <w:pStyle w:val="Paragraphedeliste"/>
        <w:rPr>
          <w:b/>
          <w:sz w:val="28"/>
          <w:szCs w:val="28"/>
          <w:lang w:val="en-US"/>
        </w:rPr>
      </w:pPr>
    </w:p>
    <w:p w:rsidR="00724FAD" w:rsidRDefault="00724FAD" w:rsidP="00724FAD">
      <w:pPr>
        <w:pStyle w:val="Paragraphedeliste"/>
        <w:rPr>
          <w:b/>
          <w:sz w:val="28"/>
          <w:szCs w:val="28"/>
          <w:lang w:val="en-US"/>
        </w:rPr>
      </w:pPr>
    </w:p>
    <w:p w:rsidR="00724FAD" w:rsidRPr="00466B7B" w:rsidRDefault="00724FAD" w:rsidP="00724FAD">
      <w:pPr>
        <w:pStyle w:val="Paragraphedeliste"/>
        <w:rPr>
          <w:b/>
          <w:sz w:val="28"/>
          <w:szCs w:val="28"/>
          <w:lang w:val="en-US"/>
        </w:rPr>
      </w:pPr>
      <w:r w:rsidRPr="00466B7B">
        <w:rPr>
          <w:b/>
          <w:sz w:val="28"/>
          <w:szCs w:val="28"/>
          <w:lang w:val="en-US"/>
        </w:rPr>
        <w:t xml:space="preserve">E-Multicolinearity test </w:t>
      </w:r>
    </w:p>
    <w:p w:rsidR="00724FAD" w:rsidRPr="00466B7B" w:rsidRDefault="00724FAD" w:rsidP="00724FAD">
      <w:pPr>
        <w:pStyle w:val="Paragraphedeliste"/>
        <w:rPr>
          <w:b/>
          <w:sz w:val="28"/>
          <w:szCs w:val="28"/>
          <w:lang w:val="en-US"/>
        </w:rPr>
      </w:pPr>
      <w:r w:rsidRPr="00466B7B">
        <w:rPr>
          <w:b/>
          <w:sz w:val="28"/>
          <w:szCs w:val="28"/>
          <w:lang w:val="en-US"/>
        </w:rPr>
        <w:t xml:space="preserve">Table  </w:t>
      </w:r>
      <w:r>
        <w:rPr>
          <w:b/>
          <w:sz w:val="28"/>
          <w:szCs w:val="28"/>
          <w:lang w:val="en-US"/>
        </w:rPr>
        <w:t>2</w:t>
      </w:r>
      <w:r w:rsidRPr="00466B7B">
        <w:rPr>
          <w:b/>
          <w:sz w:val="28"/>
          <w:szCs w:val="28"/>
          <w:lang w:val="en-US"/>
        </w:rPr>
        <w:t xml:space="preserve">: correlation between variables </w:t>
      </w:r>
    </w:p>
    <w:tbl>
      <w:tblPr>
        <w:tblStyle w:val="Grilledutableau"/>
        <w:tblW w:w="0" w:type="auto"/>
        <w:tblInd w:w="720" w:type="dxa"/>
        <w:tblLook w:val="04A0"/>
      </w:tblPr>
      <w:tblGrid>
        <w:gridCol w:w="1402"/>
        <w:gridCol w:w="1432"/>
        <w:gridCol w:w="1433"/>
        <w:gridCol w:w="1433"/>
        <w:gridCol w:w="1434"/>
        <w:gridCol w:w="1434"/>
      </w:tblGrid>
      <w:tr w:rsidR="00724FAD" w:rsidTr="006558A5">
        <w:tc>
          <w:tcPr>
            <w:tcW w:w="1535" w:type="dxa"/>
          </w:tcPr>
          <w:p w:rsidR="00724FAD" w:rsidRDefault="00724FAD" w:rsidP="006558A5">
            <w:pPr>
              <w:pStyle w:val="Paragraphedeliste"/>
              <w:ind w:left="0"/>
              <w:rPr>
                <w:lang w:val="en-US"/>
              </w:rPr>
            </w:pPr>
          </w:p>
        </w:tc>
        <w:tc>
          <w:tcPr>
            <w:tcW w:w="1535" w:type="dxa"/>
          </w:tcPr>
          <w:p w:rsidR="00724FAD" w:rsidRPr="00466B7B" w:rsidRDefault="00724FAD" w:rsidP="006558A5">
            <w:pPr>
              <w:pStyle w:val="Paragraphedeliste"/>
              <w:ind w:left="0"/>
              <w:rPr>
                <w:b/>
                <w:lang w:val="en-US"/>
              </w:rPr>
            </w:pPr>
            <w:r w:rsidRPr="00466B7B">
              <w:rPr>
                <w:b/>
                <w:lang w:val="en-US"/>
              </w:rPr>
              <w:t xml:space="preserve">ALA </w:t>
            </w:r>
          </w:p>
        </w:tc>
        <w:tc>
          <w:tcPr>
            <w:tcW w:w="1535" w:type="dxa"/>
          </w:tcPr>
          <w:p w:rsidR="00724FAD" w:rsidRPr="00466B7B" w:rsidRDefault="00724FAD" w:rsidP="006558A5">
            <w:pPr>
              <w:pStyle w:val="Paragraphedeliste"/>
              <w:ind w:left="0"/>
              <w:rPr>
                <w:b/>
                <w:lang w:val="en-US"/>
              </w:rPr>
            </w:pPr>
            <w:r w:rsidRPr="00466B7B">
              <w:rPr>
                <w:b/>
                <w:lang w:val="en-US"/>
              </w:rPr>
              <w:t>CD</w:t>
            </w:r>
          </w:p>
        </w:tc>
        <w:tc>
          <w:tcPr>
            <w:tcW w:w="1535" w:type="dxa"/>
          </w:tcPr>
          <w:p w:rsidR="00724FAD" w:rsidRPr="00466B7B" w:rsidRDefault="00724FAD" w:rsidP="006558A5">
            <w:pPr>
              <w:pStyle w:val="Paragraphedeliste"/>
              <w:ind w:left="0"/>
              <w:rPr>
                <w:b/>
                <w:lang w:val="en-US"/>
              </w:rPr>
            </w:pPr>
            <w:r w:rsidRPr="00466B7B">
              <w:rPr>
                <w:b/>
                <w:lang w:val="en-US"/>
              </w:rPr>
              <w:t>TLA</w:t>
            </w:r>
          </w:p>
        </w:tc>
        <w:tc>
          <w:tcPr>
            <w:tcW w:w="1536" w:type="dxa"/>
          </w:tcPr>
          <w:p w:rsidR="00724FAD" w:rsidRPr="00466B7B" w:rsidRDefault="00724FAD" w:rsidP="006558A5">
            <w:pPr>
              <w:pStyle w:val="Paragraphedeliste"/>
              <w:ind w:left="0"/>
              <w:rPr>
                <w:b/>
                <w:lang w:val="en-US"/>
              </w:rPr>
            </w:pPr>
            <w:r w:rsidRPr="00466B7B">
              <w:rPr>
                <w:b/>
                <w:lang w:val="en-US"/>
              </w:rPr>
              <w:t>ROA</w:t>
            </w:r>
          </w:p>
        </w:tc>
        <w:tc>
          <w:tcPr>
            <w:tcW w:w="1536" w:type="dxa"/>
          </w:tcPr>
          <w:p w:rsidR="00724FAD" w:rsidRPr="00466B7B" w:rsidRDefault="00724FAD" w:rsidP="006558A5">
            <w:pPr>
              <w:pStyle w:val="Paragraphedeliste"/>
              <w:ind w:left="0"/>
              <w:rPr>
                <w:b/>
                <w:lang w:val="en-US"/>
              </w:rPr>
            </w:pPr>
            <w:r w:rsidRPr="00466B7B">
              <w:rPr>
                <w:b/>
                <w:lang w:val="en-US"/>
              </w:rPr>
              <w:t>ROE</w:t>
            </w:r>
          </w:p>
        </w:tc>
      </w:tr>
      <w:tr w:rsidR="00724FAD" w:rsidTr="006558A5">
        <w:tc>
          <w:tcPr>
            <w:tcW w:w="1535" w:type="dxa"/>
          </w:tcPr>
          <w:p w:rsidR="00724FAD" w:rsidRPr="00466B7B" w:rsidRDefault="00724FAD" w:rsidP="006558A5">
            <w:pPr>
              <w:pStyle w:val="Paragraphedeliste"/>
              <w:ind w:left="0"/>
              <w:rPr>
                <w:b/>
                <w:lang w:val="en-US"/>
              </w:rPr>
            </w:pPr>
            <w:r w:rsidRPr="00466B7B">
              <w:rPr>
                <w:b/>
                <w:lang w:val="en-US"/>
              </w:rPr>
              <w:t>ALA</w:t>
            </w:r>
          </w:p>
        </w:tc>
        <w:tc>
          <w:tcPr>
            <w:tcW w:w="1535" w:type="dxa"/>
          </w:tcPr>
          <w:p w:rsidR="00724FAD" w:rsidRDefault="00724FAD" w:rsidP="006558A5">
            <w:pPr>
              <w:pStyle w:val="Paragraphedeliste"/>
              <w:ind w:left="0"/>
              <w:rPr>
                <w:lang w:val="en-US"/>
              </w:rPr>
            </w:pPr>
            <w:r>
              <w:rPr>
                <w:lang w:val="en-US"/>
              </w:rPr>
              <w:t>1.000</w:t>
            </w:r>
          </w:p>
        </w:tc>
        <w:tc>
          <w:tcPr>
            <w:tcW w:w="1535" w:type="dxa"/>
          </w:tcPr>
          <w:p w:rsidR="00724FAD" w:rsidRDefault="00724FAD" w:rsidP="006558A5">
            <w:pPr>
              <w:pStyle w:val="Paragraphedeliste"/>
              <w:ind w:left="0"/>
              <w:rPr>
                <w:lang w:val="en-US"/>
              </w:rPr>
            </w:pPr>
          </w:p>
        </w:tc>
        <w:tc>
          <w:tcPr>
            <w:tcW w:w="1535" w:type="dxa"/>
          </w:tcPr>
          <w:p w:rsidR="00724FAD" w:rsidRDefault="00724FAD" w:rsidP="006558A5">
            <w:pPr>
              <w:pStyle w:val="Paragraphedeliste"/>
              <w:ind w:left="0"/>
              <w:rPr>
                <w:lang w:val="en-US"/>
              </w:rPr>
            </w:pPr>
          </w:p>
        </w:tc>
        <w:tc>
          <w:tcPr>
            <w:tcW w:w="1536" w:type="dxa"/>
          </w:tcPr>
          <w:p w:rsidR="00724FAD" w:rsidRDefault="00724FAD" w:rsidP="006558A5">
            <w:pPr>
              <w:pStyle w:val="Paragraphedeliste"/>
              <w:ind w:left="0"/>
              <w:rPr>
                <w:lang w:val="en-US"/>
              </w:rPr>
            </w:pPr>
          </w:p>
        </w:tc>
        <w:tc>
          <w:tcPr>
            <w:tcW w:w="1536" w:type="dxa"/>
          </w:tcPr>
          <w:p w:rsidR="00724FAD" w:rsidRDefault="00724FAD" w:rsidP="006558A5">
            <w:pPr>
              <w:pStyle w:val="Paragraphedeliste"/>
              <w:ind w:left="0"/>
              <w:rPr>
                <w:lang w:val="en-US"/>
              </w:rPr>
            </w:pPr>
          </w:p>
        </w:tc>
      </w:tr>
      <w:tr w:rsidR="00724FAD" w:rsidTr="006558A5">
        <w:tc>
          <w:tcPr>
            <w:tcW w:w="1535" w:type="dxa"/>
          </w:tcPr>
          <w:p w:rsidR="00724FAD" w:rsidRPr="00466B7B" w:rsidRDefault="00724FAD" w:rsidP="006558A5">
            <w:pPr>
              <w:pStyle w:val="Paragraphedeliste"/>
              <w:ind w:left="0"/>
              <w:rPr>
                <w:b/>
                <w:lang w:val="en-US"/>
              </w:rPr>
            </w:pPr>
            <w:r w:rsidRPr="00466B7B">
              <w:rPr>
                <w:b/>
                <w:lang w:val="en-US"/>
              </w:rPr>
              <w:t>CD</w:t>
            </w:r>
          </w:p>
        </w:tc>
        <w:tc>
          <w:tcPr>
            <w:tcW w:w="1535" w:type="dxa"/>
          </w:tcPr>
          <w:p w:rsidR="00724FAD" w:rsidRDefault="00724FAD" w:rsidP="006558A5">
            <w:pPr>
              <w:pStyle w:val="Paragraphedeliste"/>
              <w:ind w:left="0"/>
              <w:rPr>
                <w:lang w:val="en-US"/>
              </w:rPr>
            </w:pPr>
            <w:r>
              <w:rPr>
                <w:lang w:val="en-US"/>
              </w:rPr>
              <w:t>0.073</w:t>
            </w:r>
          </w:p>
        </w:tc>
        <w:tc>
          <w:tcPr>
            <w:tcW w:w="1535" w:type="dxa"/>
          </w:tcPr>
          <w:p w:rsidR="00724FAD" w:rsidRDefault="00724FAD" w:rsidP="006558A5">
            <w:pPr>
              <w:pStyle w:val="Paragraphedeliste"/>
              <w:ind w:left="0"/>
              <w:rPr>
                <w:lang w:val="en-US"/>
              </w:rPr>
            </w:pPr>
            <w:r>
              <w:rPr>
                <w:lang w:val="en-US"/>
              </w:rPr>
              <w:t>1.000</w:t>
            </w:r>
          </w:p>
        </w:tc>
        <w:tc>
          <w:tcPr>
            <w:tcW w:w="1535" w:type="dxa"/>
          </w:tcPr>
          <w:p w:rsidR="00724FAD" w:rsidRDefault="00724FAD" w:rsidP="006558A5">
            <w:pPr>
              <w:pStyle w:val="Paragraphedeliste"/>
              <w:ind w:left="0"/>
              <w:rPr>
                <w:lang w:val="en-US"/>
              </w:rPr>
            </w:pPr>
          </w:p>
        </w:tc>
        <w:tc>
          <w:tcPr>
            <w:tcW w:w="1536" w:type="dxa"/>
          </w:tcPr>
          <w:p w:rsidR="00724FAD" w:rsidRDefault="00724FAD" w:rsidP="006558A5">
            <w:pPr>
              <w:pStyle w:val="Paragraphedeliste"/>
              <w:ind w:left="0"/>
              <w:rPr>
                <w:lang w:val="en-US"/>
              </w:rPr>
            </w:pPr>
          </w:p>
        </w:tc>
        <w:tc>
          <w:tcPr>
            <w:tcW w:w="1536" w:type="dxa"/>
          </w:tcPr>
          <w:p w:rsidR="00724FAD" w:rsidRDefault="00724FAD" w:rsidP="006558A5">
            <w:pPr>
              <w:pStyle w:val="Paragraphedeliste"/>
              <w:ind w:left="0"/>
              <w:rPr>
                <w:lang w:val="en-US"/>
              </w:rPr>
            </w:pPr>
          </w:p>
        </w:tc>
      </w:tr>
      <w:tr w:rsidR="00724FAD" w:rsidTr="006558A5">
        <w:tc>
          <w:tcPr>
            <w:tcW w:w="1535" w:type="dxa"/>
          </w:tcPr>
          <w:p w:rsidR="00724FAD" w:rsidRPr="00466B7B" w:rsidRDefault="00724FAD" w:rsidP="006558A5">
            <w:pPr>
              <w:pStyle w:val="Paragraphedeliste"/>
              <w:ind w:left="0"/>
              <w:rPr>
                <w:b/>
                <w:lang w:val="en-US"/>
              </w:rPr>
            </w:pPr>
            <w:r w:rsidRPr="00466B7B">
              <w:rPr>
                <w:b/>
                <w:lang w:val="en-US"/>
              </w:rPr>
              <w:t>TLA</w:t>
            </w:r>
          </w:p>
        </w:tc>
        <w:tc>
          <w:tcPr>
            <w:tcW w:w="1535" w:type="dxa"/>
          </w:tcPr>
          <w:p w:rsidR="00724FAD" w:rsidRDefault="00724FAD" w:rsidP="006558A5">
            <w:pPr>
              <w:pStyle w:val="Paragraphedeliste"/>
              <w:ind w:left="0"/>
              <w:rPr>
                <w:lang w:val="en-US"/>
              </w:rPr>
            </w:pPr>
            <w:r>
              <w:rPr>
                <w:lang w:val="en-US"/>
              </w:rPr>
              <w:t>-0.0844</w:t>
            </w:r>
          </w:p>
        </w:tc>
        <w:tc>
          <w:tcPr>
            <w:tcW w:w="1535" w:type="dxa"/>
          </w:tcPr>
          <w:p w:rsidR="00724FAD" w:rsidRDefault="00724FAD" w:rsidP="006558A5">
            <w:pPr>
              <w:pStyle w:val="Paragraphedeliste"/>
              <w:ind w:left="0"/>
              <w:rPr>
                <w:lang w:val="en-US"/>
              </w:rPr>
            </w:pPr>
            <w:r>
              <w:rPr>
                <w:lang w:val="en-US"/>
              </w:rPr>
              <w:t>0.1949</w:t>
            </w:r>
          </w:p>
        </w:tc>
        <w:tc>
          <w:tcPr>
            <w:tcW w:w="1535" w:type="dxa"/>
          </w:tcPr>
          <w:p w:rsidR="00724FAD" w:rsidRDefault="00724FAD" w:rsidP="006558A5">
            <w:pPr>
              <w:pStyle w:val="Paragraphedeliste"/>
              <w:ind w:left="0"/>
              <w:rPr>
                <w:lang w:val="en-US"/>
              </w:rPr>
            </w:pPr>
            <w:r>
              <w:rPr>
                <w:lang w:val="en-US"/>
              </w:rPr>
              <w:t>1.000</w:t>
            </w:r>
          </w:p>
        </w:tc>
        <w:tc>
          <w:tcPr>
            <w:tcW w:w="1536" w:type="dxa"/>
          </w:tcPr>
          <w:p w:rsidR="00724FAD" w:rsidRDefault="00724FAD" w:rsidP="006558A5">
            <w:pPr>
              <w:pStyle w:val="Paragraphedeliste"/>
              <w:ind w:left="0"/>
              <w:rPr>
                <w:lang w:val="en-US"/>
              </w:rPr>
            </w:pPr>
          </w:p>
        </w:tc>
        <w:tc>
          <w:tcPr>
            <w:tcW w:w="1536" w:type="dxa"/>
          </w:tcPr>
          <w:p w:rsidR="00724FAD" w:rsidRDefault="00724FAD" w:rsidP="006558A5">
            <w:pPr>
              <w:pStyle w:val="Paragraphedeliste"/>
              <w:ind w:left="0"/>
              <w:rPr>
                <w:lang w:val="en-US"/>
              </w:rPr>
            </w:pPr>
          </w:p>
        </w:tc>
      </w:tr>
      <w:tr w:rsidR="00724FAD" w:rsidTr="006558A5">
        <w:tc>
          <w:tcPr>
            <w:tcW w:w="1535" w:type="dxa"/>
          </w:tcPr>
          <w:p w:rsidR="00724FAD" w:rsidRPr="00466B7B" w:rsidRDefault="00724FAD" w:rsidP="006558A5">
            <w:pPr>
              <w:pStyle w:val="Paragraphedeliste"/>
              <w:ind w:left="0"/>
              <w:rPr>
                <w:b/>
                <w:lang w:val="en-US"/>
              </w:rPr>
            </w:pPr>
            <w:r w:rsidRPr="00466B7B">
              <w:rPr>
                <w:b/>
                <w:lang w:val="en-US"/>
              </w:rPr>
              <w:t>ROA</w:t>
            </w:r>
          </w:p>
        </w:tc>
        <w:tc>
          <w:tcPr>
            <w:tcW w:w="1535" w:type="dxa"/>
          </w:tcPr>
          <w:p w:rsidR="00724FAD" w:rsidRDefault="00724FAD" w:rsidP="006558A5">
            <w:pPr>
              <w:pStyle w:val="Paragraphedeliste"/>
              <w:ind w:left="0"/>
              <w:rPr>
                <w:lang w:val="en-US"/>
              </w:rPr>
            </w:pPr>
            <w:r>
              <w:rPr>
                <w:lang w:val="en-US"/>
              </w:rPr>
              <w:t>-0.1684</w:t>
            </w:r>
          </w:p>
        </w:tc>
        <w:tc>
          <w:tcPr>
            <w:tcW w:w="1535" w:type="dxa"/>
          </w:tcPr>
          <w:p w:rsidR="00724FAD" w:rsidRDefault="00724FAD" w:rsidP="006558A5">
            <w:pPr>
              <w:pStyle w:val="Paragraphedeliste"/>
              <w:ind w:left="0"/>
              <w:rPr>
                <w:lang w:val="en-US"/>
              </w:rPr>
            </w:pPr>
            <w:r>
              <w:rPr>
                <w:lang w:val="en-US"/>
              </w:rPr>
              <w:t>0.1631</w:t>
            </w:r>
          </w:p>
        </w:tc>
        <w:tc>
          <w:tcPr>
            <w:tcW w:w="1535" w:type="dxa"/>
          </w:tcPr>
          <w:p w:rsidR="00724FAD" w:rsidRDefault="00724FAD" w:rsidP="006558A5">
            <w:pPr>
              <w:pStyle w:val="Paragraphedeliste"/>
              <w:ind w:left="0"/>
              <w:rPr>
                <w:lang w:val="en-US"/>
              </w:rPr>
            </w:pPr>
            <w:r>
              <w:rPr>
                <w:lang w:val="en-US"/>
              </w:rPr>
              <w:t>0.1191</w:t>
            </w:r>
          </w:p>
        </w:tc>
        <w:tc>
          <w:tcPr>
            <w:tcW w:w="1536" w:type="dxa"/>
          </w:tcPr>
          <w:p w:rsidR="00724FAD" w:rsidRDefault="00724FAD" w:rsidP="006558A5">
            <w:pPr>
              <w:pStyle w:val="Paragraphedeliste"/>
              <w:ind w:left="0"/>
              <w:rPr>
                <w:lang w:val="en-US"/>
              </w:rPr>
            </w:pPr>
            <w:r>
              <w:rPr>
                <w:lang w:val="en-US"/>
              </w:rPr>
              <w:t>1.000</w:t>
            </w:r>
          </w:p>
        </w:tc>
        <w:tc>
          <w:tcPr>
            <w:tcW w:w="1536" w:type="dxa"/>
          </w:tcPr>
          <w:p w:rsidR="00724FAD" w:rsidRDefault="00724FAD" w:rsidP="006558A5">
            <w:pPr>
              <w:pStyle w:val="Paragraphedeliste"/>
              <w:ind w:left="0"/>
              <w:rPr>
                <w:lang w:val="en-US"/>
              </w:rPr>
            </w:pPr>
          </w:p>
        </w:tc>
      </w:tr>
      <w:tr w:rsidR="00724FAD" w:rsidTr="006558A5">
        <w:tc>
          <w:tcPr>
            <w:tcW w:w="1535" w:type="dxa"/>
          </w:tcPr>
          <w:p w:rsidR="00724FAD" w:rsidRPr="00466B7B" w:rsidRDefault="00724FAD" w:rsidP="006558A5">
            <w:pPr>
              <w:pStyle w:val="Paragraphedeliste"/>
              <w:ind w:left="0"/>
              <w:rPr>
                <w:b/>
                <w:lang w:val="en-US"/>
              </w:rPr>
            </w:pPr>
            <w:r w:rsidRPr="00466B7B">
              <w:rPr>
                <w:b/>
                <w:lang w:val="en-US"/>
              </w:rPr>
              <w:t>ROE</w:t>
            </w:r>
          </w:p>
        </w:tc>
        <w:tc>
          <w:tcPr>
            <w:tcW w:w="1535" w:type="dxa"/>
          </w:tcPr>
          <w:p w:rsidR="00724FAD" w:rsidRDefault="00724FAD" w:rsidP="006558A5">
            <w:pPr>
              <w:pStyle w:val="Paragraphedeliste"/>
              <w:ind w:left="0"/>
              <w:rPr>
                <w:lang w:val="en-US"/>
              </w:rPr>
            </w:pPr>
            <w:r>
              <w:rPr>
                <w:lang w:val="en-US"/>
              </w:rPr>
              <w:t>-0.2150</w:t>
            </w:r>
          </w:p>
        </w:tc>
        <w:tc>
          <w:tcPr>
            <w:tcW w:w="1535" w:type="dxa"/>
          </w:tcPr>
          <w:p w:rsidR="00724FAD" w:rsidRDefault="00724FAD" w:rsidP="006558A5">
            <w:pPr>
              <w:pStyle w:val="Paragraphedeliste"/>
              <w:ind w:left="0"/>
              <w:rPr>
                <w:lang w:val="en-US"/>
              </w:rPr>
            </w:pPr>
            <w:r>
              <w:rPr>
                <w:lang w:val="en-US"/>
              </w:rPr>
              <w:t>-0.1616</w:t>
            </w:r>
          </w:p>
        </w:tc>
        <w:tc>
          <w:tcPr>
            <w:tcW w:w="1535" w:type="dxa"/>
          </w:tcPr>
          <w:p w:rsidR="00724FAD" w:rsidRDefault="00724FAD" w:rsidP="006558A5">
            <w:pPr>
              <w:pStyle w:val="Paragraphedeliste"/>
              <w:ind w:left="0"/>
              <w:rPr>
                <w:lang w:val="en-US"/>
              </w:rPr>
            </w:pPr>
            <w:r>
              <w:rPr>
                <w:lang w:val="en-US"/>
              </w:rPr>
              <w:t>0.1176</w:t>
            </w:r>
          </w:p>
        </w:tc>
        <w:tc>
          <w:tcPr>
            <w:tcW w:w="1536" w:type="dxa"/>
          </w:tcPr>
          <w:p w:rsidR="00724FAD" w:rsidRDefault="00724FAD" w:rsidP="006558A5">
            <w:pPr>
              <w:pStyle w:val="Paragraphedeliste"/>
              <w:ind w:left="0"/>
              <w:rPr>
                <w:lang w:val="en-US"/>
              </w:rPr>
            </w:pPr>
            <w:r>
              <w:rPr>
                <w:lang w:val="en-US"/>
              </w:rPr>
              <w:t>0.3923</w:t>
            </w:r>
          </w:p>
        </w:tc>
        <w:tc>
          <w:tcPr>
            <w:tcW w:w="1536" w:type="dxa"/>
          </w:tcPr>
          <w:p w:rsidR="00724FAD" w:rsidRDefault="00724FAD" w:rsidP="006558A5">
            <w:pPr>
              <w:pStyle w:val="Paragraphedeliste"/>
              <w:ind w:left="0"/>
              <w:rPr>
                <w:lang w:val="en-US"/>
              </w:rPr>
            </w:pPr>
            <w:r>
              <w:rPr>
                <w:lang w:val="en-US"/>
              </w:rPr>
              <w:t>1.000</w:t>
            </w:r>
          </w:p>
        </w:tc>
      </w:tr>
      <w:tr w:rsidR="00724FAD" w:rsidTr="006558A5">
        <w:tc>
          <w:tcPr>
            <w:tcW w:w="1535" w:type="dxa"/>
          </w:tcPr>
          <w:p w:rsidR="00724FAD" w:rsidRPr="00466B7B" w:rsidRDefault="00724FAD" w:rsidP="006558A5">
            <w:pPr>
              <w:pStyle w:val="Paragraphedeliste"/>
              <w:ind w:left="0"/>
              <w:rPr>
                <w:b/>
                <w:lang w:val="en-US"/>
              </w:rPr>
            </w:pPr>
            <w:r w:rsidRPr="00466B7B">
              <w:rPr>
                <w:b/>
                <w:lang w:val="en-US"/>
              </w:rPr>
              <w:t>NIM</w:t>
            </w:r>
          </w:p>
        </w:tc>
        <w:tc>
          <w:tcPr>
            <w:tcW w:w="1535" w:type="dxa"/>
          </w:tcPr>
          <w:p w:rsidR="00724FAD" w:rsidRDefault="00724FAD" w:rsidP="006558A5">
            <w:pPr>
              <w:pStyle w:val="Paragraphedeliste"/>
              <w:ind w:left="0"/>
              <w:rPr>
                <w:lang w:val="en-US"/>
              </w:rPr>
            </w:pPr>
            <w:r>
              <w:rPr>
                <w:lang w:val="en-US"/>
              </w:rPr>
              <w:t>0.0158</w:t>
            </w:r>
          </w:p>
        </w:tc>
        <w:tc>
          <w:tcPr>
            <w:tcW w:w="1535" w:type="dxa"/>
          </w:tcPr>
          <w:p w:rsidR="00724FAD" w:rsidRDefault="00724FAD" w:rsidP="006558A5">
            <w:pPr>
              <w:pStyle w:val="Paragraphedeliste"/>
              <w:ind w:left="0"/>
              <w:rPr>
                <w:lang w:val="en-US"/>
              </w:rPr>
            </w:pPr>
            <w:r>
              <w:rPr>
                <w:lang w:val="en-US"/>
              </w:rPr>
              <w:t>-0.0833</w:t>
            </w:r>
          </w:p>
        </w:tc>
        <w:tc>
          <w:tcPr>
            <w:tcW w:w="1535" w:type="dxa"/>
          </w:tcPr>
          <w:p w:rsidR="00724FAD" w:rsidRDefault="00724FAD" w:rsidP="006558A5">
            <w:pPr>
              <w:pStyle w:val="Paragraphedeliste"/>
              <w:ind w:left="0"/>
              <w:rPr>
                <w:lang w:val="en-US"/>
              </w:rPr>
            </w:pPr>
            <w:r>
              <w:rPr>
                <w:lang w:val="en-US"/>
              </w:rPr>
              <w:t>0.2478</w:t>
            </w:r>
          </w:p>
        </w:tc>
        <w:tc>
          <w:tcPr>
            <w:tcW w:w="1536" w:type="dxa"/>
          </w:tcPr>
          <w:p w:rsidR="00724FAD" w:rsidRDefault="00724FAD" w:rsidP="006558A5">
            <w:pPr>
              <w:pStyle w:val="Paragraphedeliste"/>
              <w:ind w:left="0"/>
              <w:rPr>
                <w:lang w:val="en-US"/>
              </w:rPr>
            </w:pPr>
            <w:r>
              <w:rPr>
                <w:lang w:val="en-US"/>
              </w:rPr>
              <w:t>0.1073</w:t>
            </w:r>
          </w:p>
        </w:tc>
        <w:tc>
          <w:tcPr>
            <w:tcW w:w="1536" w:type="dxa"/>
          </w:tcPr>
          <w:p w:rsidR="00724FAD" w:rsidRDefault="00724FAD" w:rsidP="006558A5">
            <w:pPr>
              <w:pStyle w:val="Paragraphedeliste"/>
              <w:ind w:left="0"/>
              <w:rPr>
                <w:lang w:val="en-US"/>
              </w:rPr>
            </w:pPr>
            <w:r>
              <w:rPr>
                <w:lang w:val="en-US"/>
              </w:rPr>
              <w:t>0.0834</w:t>
            </w:r>
          </w:p>
        </w:tc>
      </w:tr>
      <w:tr w:rsidR="00724FAD" w:rsidTr="006558A5">
        <w:tc>
          <w:tcPr>
            <w:tcW w:w="1535" w:type="dxa"/>
          </w:tcPr>
          <w:p w:rsidR="00724FAD" w:rsidRPr="00466B7B" w:rsidRDefault="00724FAD" w:rsidP="006558A5">
            <w:pPr>
              <w:pStyle w:val="Paragraphedeliste"/>
              <w:ind w:left="0"/>
              <w:rPr>
                <w:b/>
                <w:lang w:val="en-US"/>
              </w:rPr>
            </w:pPr>
            <w:r w:rsidRPr="00466B7B">
              <w:rPr>
                <w:b/>
                <w:lang w:val="en-US"/>
              </w:rPr>
              <w:t xml:space="preserve">Size </w:t>
            </w:r>
          </w:p>
        </w:tc>
        <w:tc>
          <w:tcPr>
            <w:tcW w:w="1535" w:type="dxa"/>
          </w:tcPr>
          <w:p w:rsidR="00724FAD" w:rsidRDefault="00724FAD" w:rsidP="006558A5">
            <w:pPr>
              <w:pStyle w:val="Paragraphedeliste"/>
              <w:ind w:left="0"/>
              <w:rPr>
                <w:lang w:val="en-US"/>
              </w:rPr>
            </w:pPr>
            <w:r>
              <w:rPr>
                <w:lang w:val="en-US"/>
              </w:rPr>
              <w:t>0.0973</w:t>
            </w:r>
          </w:p>
        </w:tc>
        <w:tc>
          <w:tcPr>
            <w:tcW w:w="1535" w:type="dxa"/>
          </w:tcPr>
          <w:p w:rsidR="00724FAD" w:rsidRDefault="00724FAD" w:rsidP="006558A5">
            <w:pPr>
              <w:pStyle w:val="Paragraphedeliste"/>
              <w:ind w:left="0"/>
              <w:rPr>
                <w:lang w:val="en-US"/>
              </w:rPr>
            </w:pPr>
            <w:r>
              <w:rPr>
                <w:lang w:val="en-US"/>
              </w:rPr>
              <w:t>-0.27</w:t>
            </w:r>
          </w:p>
        </w:tc>
        <w:tc>
          <w:tcPr>
            <w:tcW w:w="1535" w:type="dxa"/>
          </w:tcPr>
          <w:p w:rsidR="00724FAD" w:rsidRDefault="00724FAD" w:rsidP="006558A5">
            <w:pPr>
              <w:pStyle w:val="Paragraphedeliste"/>
              <w:ind w:left="0"/>
              <w:rPr>
                <w:lang w:val="en-US"/>
              </w:rPr>
            </w:pPr>
            <w:r>
              <w:rPr>
                <w:lang w:val="en-US"/>
              </w:rPr>
              <w:t>0.1577</w:t>
            </w:r>
          </w:p>
        </w:tc>
        <w:tc>
          <w:tcPr>
            <w:tcW w:w="1536" w:type="dxa"/>
          </w:tcPr>
          <w:p w:rsidR="00724FAD" w:rsidRDefault="00724FAD" w:rsidP="006558A5">
            <w:pPr>
              <w:pStyle w:val="Paragraphedeliste"/>
              <w:ind w:left="0"/>
              <w:rPr>
                <w:lang w:val="en-US"/>
              </w:rPr>
            </w:pPr>
            <w:r>
              <w:rPr>
                <w:lang w:val="en-US"/>
              </w:rPr>
              <w:t>0.0857</w:t>
            </w:r>
          </w:p>
        </w:tc>
        <w:tc>
          <w:tcPr>
            <w:tcW w:w="1536" w:type="dxa"/>
          </w:tcPr>
          <w:p w:rsidR="00724FAD" w:rsidRDefault="00724FAD" w:rsidP="006558A5">
            <w:pPr>
              <w:pStyle w:val="Paragraphedeliste"/>
              <w:ind w:left="0"/>
              <w:rPr>
                <w:lang w:val="en-US"/>
              </w:rPr>
            </w:pPr>
            <w:r>
              <w:rPr>
                <w:lang w:val="en-US"/>
              </w:rPr>
              <w:t>0.3653</w:t>
            </w:r>
          </w:p>
        </w:tc>
      </w:tr>
    </w:tbl>
    <w:p w:rsidR="00724FAD" w:rsidRDefault="00724FAD" w:rsidP="00724FAD">
      <w:pPr>
        <w:pStyle w:val="Paragraphedeliste"/>
        <w:rPr>
          <w:lang w:val="en-US"/>
        </w:rPr>
      </w:pPr>
    </w:p>
    <w:p w:rsidR="00724FAD" w:rsidRDefault="00724FAD" w:rsidP="00724FAD">
      <w:pPr>
        <w:pStyle w:val="Paragraphedeliste"/>
        <w:rPr>
          <w:lang w:val="en-US"/>
        </w:rPr>
      </w:pPr>
    </w:p>
    <w:p w:rsidR="00724FAD" w:rsidRDefault="00724FAD" w:rsidP="00724FAD">
      <w:pPr>
        <w:pStyle w:val="Paragraphedeliste"/>
        <w:rPr>
          <w:lang w:val="en-US"/>
        </w:rPr>
      </w:pPr>
    </w:p>
    <w:p w:rsidR="00724FAD" w:rsidRDefault="00724FAD" w:rsidP="00724FAD">
      <w:pPr>
        <w:pStyle w:val="Paragraphedeliste"/>
        <w:rPr>
          <w:lang w:val="en-US"/>
        </w:rPr>
      </w:pPr>
    </w:p>
    <w:p w:rsidR="00724FAD" w:rsidRDefault="00724FAD" w:rsidP="00724FAD">
      <w:pPr>
        <w:pStyle w:val="Paragraphedeliste"/>
        <w:rPr>
          <w:lang w:val="en-US"/>
        </w:rPr>
      </w:pPr>
    </w:p>
    <w:p w:rsidR="00724FAD" w:rsidRDefault="00724FAD" w:rsidP="00724FAD">
      <w:pPr>
        <w:pStyle w:val="Paragraphedeliste"/>
        <w:rPr>
          <w:lang w:val="en-US"/>
        </w:rPr>
      </w:pPr>
    </w:p>
    <w:p w:rsidR="00724FAD" w:rsidRDefault="00724FAD" w:rsidP="00724FAD">
      <w:pPr>
        <w:pStyle w:val="Paragraphedeliste"/>
        <w:rPr>
          <w:lang w:val="en-US"/>
        </w:rPr>
      </w:pPr>
    </w:p>
    <w:p w:rsidR="00724FAD" w:rsidRDefault="00724FAD" w:rsidP="00724FAD">
      <w:pPr>
        <w:pStyle w:val="Paragraphedeliste"/>
        <w:rPr>
          <w:lang w:val="en-US"/>
        </w:rPr>
      </w:pPr>
    </w:p>
    <w:p w:rsidR="00724FAD" w:rsidRDefault="00724FAD" w:rsidP="00724FAD">
      <w:pPr>
        <w:pStyle w:val="Paragraphedeliste"/>
        <w:rPr>
          <w:lang w:val="en-US"/>
        </w:rPr>
      </w:pPr>
      <w:r>
        <w:rPr>
          <w:lang w:val="en-US"/>
        </w:rPr>
        <w:t xml:space="preserve">Table3 : suite of correlation between variables </w:t>
      </w:r>
    </w:p>
    <w:tbl>
      <w:tblPr>
        <w:tblStyle w:val="Grilledutableau"/>
        <w:tblW w:w="0" w:type="auto"/>
        <w:tblInd w:w="720" w:type="dxa"/>
        <w:tblLook w:val="04A0"/>
      </w:tblPr>
      <w:tblGrid>
        <w:gridCol w:w="1436"/>
        <w:gridCol w:w="1426"/>
        <w:gridCol w:w="1426"/>
        <w:gridCol w:w="1426"/>
        <w:gridCol w:w="1427"/>
        <w:gridCol w:w="1427"/>
      </w:tblGrid>
      <w:tr w:rsidR="00724FAD" w:rsidTr="006558A5">
        <w:tc>
          <w:tcPr>
            <w:tcW w:w="1535" w:type="dxa"/>
          </w:tcPr>
          <w:p w:rsidR="00724FAD" w:rsidRDefault="00724FAD" w:rsidP="006558A5">
            <w:pPr>
              <w:pStyle w:val="Paragraphedeliste"/>
              <w:ind w:left="0"/>
              <w:rPr>
                <w:lang w:val="en-US"/>
              </w:rPr>
            </w:pPr>
          </w:p>
        </w:tc>
        <w:tc>
          <w:tcPr>
            <w:tcW w:w="1535" w:type="dxa"/>
          </w:tcPr>
          <w:p w:rsidR="00724FAD" w:rsidRDefault="00724FAD" w:rsidP="006558A5">
            <w:pPr>
              <w:pStyle w:val="Paragraphedeliste"/>
              <w:ind w:left="0"/>
              <w:rPr>
                <w:lang w:val="en-US"/>
              </w:rPr>
            </w:pPr>
            <w:r>
              <w:rPr>
                <w:lang w:val="en-US"/>
              </w:rPr>
              <w:t xml:space="preserve">ALA </w:t>
            </w:r>
          </w:p>
        </w:tc>
        <w:tc>
          <w:tcPr>
            <w:tcW w:w="1535" w:type="dxa"/>
          </w:tcPr>
          <w:p w:rsidR="00724FAD" w:rsidRDefault="00724FAD" w:rsidP="006558A5">
            <w:pPr>
              <w:pStyle w:val="Paragraphedeliste"/>
              <w:ind w:left="0"/>
              <w:rPr>
                <w:lang w:val="en-US"/>
              </w:rPr>
            </w:pPr>
            <w:r>
              <w:rPr>
                <w:lang w:val="en-US"/>
              </w:rPr>
              <w:t>CD</w:t>
            </w:r>
          </w:p>
        </w:tc>
        <w:tc>
          <w:tcPr>
            <w:tcW w:w="1535" w:type="dxa"/>
          </w:tcPr>
          <w:p w:rsidR="00724FAD" w:rsidRDefault="00724FAD" w:rsidP="006558A5">
            <w:pPr>
              <w:pStyle w:val="Paragraphedeliste"/>
              <w:ind w:left="0"/>
              <w:rPr>
                <w:lang w:val="en-US"/>
              </w:rPr>
            </w:pPr>
            <w:r>
              <w:rPr>
                <w:lang w:val="en-US"/>
              </w:rPr>
              <w:t>TLA</w:t>
            </w:r>
          </w:p>
        </w:tc>
        <w:tc>
          <w:tcPr>
            <w:tcW w:w="1536" w:type="dxa"/>
          </w:tcPr>
          <w:p w:rsidR="00724FAD" w:rsidRDefault="00724FAD" w:rsidP="006558A5">
            <w:pPr>
              <w:pStyle w:val="Paragraphedeliste"/>
              <w:ind w:left="0"/>
              <w:rPr>
                <w:lang w:val="en-US"/>
              </w:rPr>
            </w:pPr>
            <w:r>
              <w:rPr>
                <w:lang w:val="en-US"/>
              </w:rPr>
              <w:t xml:space="preserve">ROA </w:t>
            </w:r>
          </w:p>
        </w:tc>
        <w:tc>
          <w:tcPr>
            <w:tcW w:w="1536" w:type="dxa"/>
          </w:tcPr>
          <w:p w:rsidR="00724FAD" w:rsidRDefault="00724FAD" w:rsidP="006558A5">
            <w:pPr>
              <w:pStyle w:val="Paragraphedeliste"/>
              <w:ind w:left="0"/>
              <w:rPr>
                <w:lang w:val="en-US"/>
              </w:rPr>
            </w:pPr>
            <w:r>
              <w:rPr>
                <w:lang w:val="en-US"/>
              </w:rPr>
              <w:t>ROE</w:t>
            </w:r>
          </w:p>
        </w:tc>
      </w:tr>
      <w:tr w:rsidR="00724FAD" w:rsidTr="006558A5">
        <w:tc>
          <w:tcPr>
            <w:tcW w:w="1535" w:type="dxa"/>
          </w:tcPr>
          <w:p w:rsidR="00724FAD" w:rsidRDefault="00724FAD" w:rsidP="006558A5">
            <w:pPr>
              <w:pStyle w:val="Paragraphedeliste"/>
              <w:ind w:left="0"/>
              <w:rPr>
                <w:lang w:val="en-US"/>
              </w:rPr>
            </w:pPr>
            <w:r>
              <w:rPr>
                <w:lang w:val="en-US"/>
              </w:rPr>
              <w:t>CAP</w:t>
            </w:r>
          </w:p>
        </w:tc>
        <w:tc>
          <w:tcPr>
            <w:tcW w:w="1535" w:type="dxa"/>
          </w:tcPr>
          <w:p w:rsidR="00724FAD" w:rsidRDefault="00724FAD" w:rsidP="006558A5">
            <w:pPr>
              <w:pStyle w:val="Paragraphedeliste"/>
              <w:ind w:left="0"/>
              <w:rPr>
                <w:lang w:val="en-US"/>
              </w:rPr>
            </w:pPr>
            <w:r>
              <w:rPr>
                <w:lang w:val="en-US"/>
              </w:rPr>
              <w:t>-0.0775</w:t>
            </w:r>
          </w:p>
        </w:tc>
        <w:tc>
          <w:tcPr>
            <w:tcW w:w="1535" w:type="dxa"/>
          </w:tcPr>
          <w:p w:rsidR="00724FAD" w:rsidRDefault="00724FAD" w:rsidP="006558A5">
            <w:pPr>
              <w:pStyle w:val="Paragraphedeliste"/>
              <w:ind w:left="0"/>
              <w:rPr>
                <w:lang w:val="en-US"/>
              </w:rPr>
            </w:pPr>
            <w:r>
              <w:rPr>
                <w:lang w:val="en-US"/>
              </w:rPr>
              <w:t>0.6962</w:t>
            </w:r>
          </w:p>
        </w:tc>
        <w:tc>
          <w:tcPr>
            <w:tcW w:w="1535" w:type="dxa"/>
          </w:tcPr>
          <w:p w:rsidR="00724FAD" w:rsidRDefault="00724FAD" w:rsidP="006558A5">
            <w:pPr>
              <w:pStyle w:val="Paragraphedeliste"/>
              <w:ind w:left="0"/>
              <w:rPr>
                <w:lang w:val="en-US"/>
              </w:rPr>
            </w:pPr>
            <w:r>
              <w:rPr>
                <w:lang w:val="en-US"/>
              </w:rPr>
              <w:t>0.1346</w:t>
            </w:r>
          </w:p>
        </w:tc>
        <w:tc>
          <w:tcPr>
            <w:tcW w:w="1536" w:type="dxa"/>
          </w:tcPr>
          <w:p w:rsidR="00724FAD" w:rsidRDefault="00724FAD" w:rsidP="006558A5">
            <w:pPr>
              <w:pStyle w:val="Paragraphedeliste"/>
              <w:ind w:left="0"/>
              <w:rPr>
                <w:lang w:val="en-US"/>
              </w:rPr>
            </w:pPr>
            <w:r>
              <w:rPr>
                <w:lang w:val="en-US"/>
              </w:rPr>
              <w:t>0.2912</w:t>
            </w:r>
          </w:p>
        </w:tc>
        <w:tc>
          <w:tcPr>
            <w:tcW w:w="1536" w:type="dxa"/>
          </w:tcPr>
          <w:p w:rsidR="00724FAD" w:rsidRDefault="00724FAD" w:rsidP="006558A5">
            <w:pPr>
              <w:pStyle w:val="Paragraphedeliste"/>
              <w:ind w:left="0"/>
              <w:rPr>
                <w:lang w:val="en-US"/>
              </w:rPr>
            </w:pPr>
            <w:r>
              <w:rPr>
                <w:lang w:val="en-US"/>
              </w:rPr>
              <w:t>-0.1852</w:t>
            </w:r>
          </w:p>
        </w:tc>
      </w:tr>
      <w:tr w:rsidR="00724FAD" w:rsidTr="006558A5">
        <w:tc>
          <w:tcPr>
            <w:tcW w:w="1535" w:type="dxa"/>
          </w:tcPr>
          <w:p w:rsidR="00724FAD" w:rsidRDefault="00724FAD" w:rsidP="006558A5">
            <w:pPr>
              <w:pStyle w:val="Paragraphedeliste"/>
              <w:ind w:left="0"/>
              <w:rPr>
                <w:lang w:val="en-US"/>
              </w:rPr>
            </w:pPr>
            <w:r>
              <w:rPr>
                <w:lang w:val="en-US"/>
              </w:rPr>
              <w:t>CEA</w:t>
            </w:r>
          </w:p>
        </w:tc>
        <w:tc>
          <w:tcPr>
            <w:tcW w:w="1535" w:type="dxa"/>
          </w:tcPr>
          <w:p w:rsidR="00724FAD" w:rsidRDefault="00724FAD" w:rsidP="006558A5">
            <w:pPr>
              <w:pStyle w:val="Paragraphedeliste"/>
              <w:ind w:left="0"/>
              <w:rPr>
                <w:lang w:val="en-US"/>
              </w:rPr>
            </w:pPr>
            <w:r>
              <w:rPr>
                <w:lang w:val="en-US"/>
              </w:rPr>
              <w:t>0.2036</w:t>
            </w:r>
          </w:p>
        </w:tc>
        <w:tc>
          <w:tcPr>
            <w:tcW w:w="1535" w:type="dxa"/>
          </w:tcPr>
          <w:p w:rsidR="00724FAD" w:rsidRDefault="00724FAD" w:rsidP="006558A5">
            <w:pPr>
              <w:pStyle w:val="Paragraphedeliste"/>
              <w:ind w:left="0"/>
              <w:rPr>
                <w:lang w:val="en-US"/>
              </w:rPr>
            </w:pPr>
            <w:r>
              <w:rPr>
                <w:lang w:val="en-US"/>
              </w:rPr>
              <w:t>0.0159</w:t>
            </w:r>
          </w:p>
        </w:tc>
        <w:tc>
          <w:tcPr>
            <w:tcW w:w="1535" w:type="dxa"/>
          </w:tcPr>
          <w:p w:rsidR="00724FAD" w:rsidRDefault="00724FAD" w:rsidP="006558A5">
            <w:pPr>
              <w:pStyle w:val="Paragraphedeliste"/>
              <w:ind w:left="0"/>
              <w:rPr>
                <w:lang w:val="en-US"/>
              </w:rPr>
            </w:pPr>
            <w:r>
              <w:rPr>
                <w:lang w:val="en-US"/>
              </w:rPr>
              <w:t>-0.0661</w:t>
            </w:r>
          </w:p>
        </w:tc>
        <w:tc>
          <w:tcPr>
            <w:tcW w:w="1536" w:type="dxa"/>
          </w:tcPr>
          <w:p w:rsidR="00724FAD" w:rsidRDefault="00724FAD" w:rsidP="006558A5">
            <w:pPr>
              <w:pStyle w:val="Paragraphedeliste"/>
              <w:ind w:left="0"/>
              <w:rPr>
                <w:lang w:val="en-US"/>
              </w:rPr>
            </w:pPr>
            <w:r>
              <w:rPr>
                <w:lang w:val="en-US"/>
              </w:rPr>
              <w:t>-0.0267</w:t>
            </w:r>
          </w:p>
        </w:tc>
        <w:tc>
          <w:tcPr>
            <w:tcW w:w="1536" w:type="dxa"/>
          </w:tcPr>
          <w:p w:rsidR="00724FAD" w:rsidRDefault="00724FAD" w:rsidP="006558A5">
            <w:pPr>
              <w:pStyle w:val="Paragraphedeliste"/>
              <w:ind w:left="0"/>
              <w:rPr>
                <w:lang w:val="en-US"/>
              </w:rPr>
            </w:pPr>
            <w:r>
              <w:rPr>
                <w:lang w:val="en-US"/>
              </w:rPr>
              <w:t>-0.0754</w:t>
            </w:r>
          </w:p>
        </w:tc>
      </w:tr>
      <w:tr w:rsidR="00724FAD" w:rsidTr="006558A5">
        <w:tc>
          <w:tcPr>
            <w:tcW w:w="1535" w:type="dxa"/>
          </w:tcPr>
          <w:p w:rsidR="00724FAD" w:rsidRDefault="00724FAD" w:rsidP="006558A5">
            <w:pPr>
              <w:pStyle w:val="Paragraphedeliste"/>
              <w:ind w:left="0"/>
              <w:rPr>
                <w:lang w:val="en-US"/>
              </w:rPr>
            </w:pPr>
            <w:r>
              <w:rPr>
                <w:lang w:val="en-US"/>
              </w:rPr>
              <w:t>CFC</w:t>
            </w:r>
          </w:p>
        </w:tc>
        <w:tc>
          <w:tcPr>
            <w:tcW w:w="1535" w:type="dxa"/>
          </w:tcPr>
          <w:p w:rsidR="00724FAD" w:rsidRDefault="00724FAD" w:rsidP="006558A5">
            <w:pPr>
              <w:pStyle w:val="Paragraphedeliste"/>
              <w:ind w:left="0"/>
              <w:rPr>
                <w:lang w:val="en-US"/>
              </w:rPr>
            </w:pPr>
            <w:r>
              <w:rPr>
                <w:lang w:val="en-US"/>
              </w:rPr>
              <w:t>-0.0378</w:t>
            </w:r>
          </w:p>
        </w:tc>
        <w:tc>
          <w:tcPr>
            <w:tcW w:w="1535" w:type="dxa"/>
          </w:tcPr>
          <w:p w:rsidR="00724FAD" w:rsidRDefault="00724FAD" w:rsidP="006558A5">
            <w:pPr>
              <w:pStyle w:val="Paragraphedeliste"/>
              <w:ind w:left="0"/>
              <w:rPr>
                <w:lang w:val="en-US"/>
              </w:rPr>
            </w:pPr>
            <w:r>
              <w:rPr>
                <w:lang w:val="en-US"/>
              </w:rPr>
              <w:t>-0.0258</w:t>
            </w:r>
          </w:p>
        </w:tc>
        <w:tc>
          <w:tcPr>
            <w:tcW w:w="1535" w:type="dxa"/>
          </w:tcPr>
          <w:p w:rsidR="00724FAD" w:rsidRDefault="00724FAD" w:rsidP="006558A5">
            <w:pPr>
              <w:pStyle w:val="Paragraphedeliste"/>
              <w:ind w:left="0"/>
              <w:rPr>
                <w:lang w:val="en-US"/>
              </w:rPr>
            </w:pPr>
            <w:r>
              <w:rPr>
                <w:lang w:val="en-US"/>
              </w:rPr>
              <w:t>-0.1179</w:t>
            </w:r>
          </w:p>
        </w:tc>
        <w:tc>
          <w:tcPr>
            <w:tcW w:w="1536" w:type="dxa"/>
          </w:tcPr>
          <w:p w:rsidR="00724FAD" w:rsidRDefault="00724FAD" w:rsidP="006558A5">
            <w:pPr>
              <w:pStyle w:val="Paragraphedeliste"/>
              <w:ind w:left="0"/>
              <w:rPr>
                <w:lang w:val="en-US"/>
              </w:rPr>
            </w:pPr>
            <w:r>
              <w:rPr>
                <w:lang w:val="en-US"/>
              </w:rPr>
              <w:t>-0.0076</w:t>
            </w:r>
          </w:p>
        </w:tc>
        <w:tc>
          <w:tcPr>
            <w:tcW w:w="1536" w:type="dxa"/>
          </w:tcPr>
          <w:p w:rsidR="00724FAD" w:rsidRDefault="00724FAD" w:rsidP="006558A5">
            <w:pPr>
              <w:pStyle w:val="Paragraphedeliste"/>
              <w:ind w:left="0"/>
              <w:rPr>
                <w:lang w:val="en-US"/>
              </w:rPr>
            </w:pPr>
            <w:r>
              <w:rPr>
                <w:lang w:val="en-US"/>
              </w:rPr>
              <w:t>-0.0447</w:t>
            </w:r>
          </w:p>
        </w:tc>
      </w:tr>
      <w:tr w:rsidR="00724FAD" w:rsidTr="006558A5">
        <w:tc>
          <w:tcPr>
            <w:tcW w:w="1535" w:type="dxa"/>
          </w:tcPr>
          <w:p w:rsidR="00724FAD" w:rsidRDefault="00724FAD" w:rsidP="006558A5">
            <w:pPr>
              <w:pStyle w:val="Paragraphedeliste"/>
              <w:ind w:left="0"/>
              <w:rPr>
                <w:lang w:val="en-US"/>
              </w:rPr>
            </w:pPr>
            <w:r>
              <w:rPr>
                <w:lang w:val="en-US"/>
              </w:rPr>
              <w:t xml:space="preserve">T deposit </w:t>
            </w:r>
          </w:p>
        </w:tc>
        <w:tc>
          <w:tcPr>
            <w:tcW w:w="1535" w:type="dxa"/>
          </w:tcPr>
          <w:p w:rsidR="00724FAD" w:rsidRDefault="00724FAD" w:rsidP="006558A5">
            <w:pPr>
              <w:pStyle w:val="Paragraphedeliste"/>
              <w:ind w:left="0"/>
              <w:rPr>
                <w:lang w:val="en-US"/>
              </w:rPr>
            </w:pPr>
            <w:r>
              <w:rPr>
                <w:lang w:val="en-US"/>
              </w:rPr>
              <w:t>-0.2385</w:t>
            </w:r>
          </w:p>
        </w:tc>
        <w:tc>
          <w:tcPr>
            <w:tcW w:w="1535" w:type="dxa"/>
          </w:tcPr>
          <w:p w:rsidR="00724FAD" w:rsidRDefault="00724FAD" w:rsidP="006558A5">
            <w:pPr>
              <w:pStyle w:val="Paragraphedeliste"/>
              <w:ind w:left="0"/>
              <w:rPr>
                <w:lang w:val="en-US"/>
              </w:rPr>
            </w:pPr>
            <w:r>
              <w:rPr>
                <w:lang w:val="en-US"/>
              </w:rPr>
              <w:t>-0.5547</w:t>
            </w:r>
          </w:p>
        </w:tc>
        <w:tc>
          <w:tcPr>
            <w:tcW w:w="1535" w:type="dxa"/>
          </w:tcPr>
          <w:p w:rsidR="00724FAD" w:rsidRDefault="00724FAD" w:rsidP="006558A5">
            <w:pPr>
              <w:pStyle w:val="Paragraphedeliste"/>
              <w:ind w:left="0"/>
              <w:rPr>
                <w:lang w:val="en-US"/>
              </w:rPr>
            </w:pPr>
            <w:r>
              <w:rPr>
                <w:lang w:val="en-US"/>
              </w:rPr>
              <w:t>0.0531</w:t>
            </w:r>
          </w:p>
        </w:tc>
        <w:tc>
          <w:tcPr>
            <w:tcW w:w="1536" w:type="dxa"/>
          </w:tcPr>
          <w:p w:rsidR="00724FAD" w:rsidRDefault="00724FAD" w:rsidP="006558A5">
            <w:pPr>
              <w:pStyle w:val="Paragraphedeliste"/>
              <w:ind w:left="0"/>
              <w:rPr>
                <w:lang w:val="en-US"/>
              </w:rPr>
            </w:pPr>
            <w:r>
              <w:rPr>
                <w:lang w:val="en-US"/>
              </w:rPr>
              <w:t>0.0169</w:t>
            </w:r>
          </w:p>
        </w:tc>
        <w:tc>
          <w:tcPr>
            <w:tcW w:w="1536" w:type="dxa"/>
          </w:tcPr>
          <w:p w:rsidR="00724FAD" w:rsidRDefault="00724FAD" w:rsidP="006558A5">
            <w:pPr>
              <w:pStyle w:val="Paragraphedeliste"/>
              <w:ind w:left="0"/>
              <w:rPr>
                <w:lang w:val="en-US"/>
              </w:rPr>
            </w:pPr>
            <w:r>
              <w:rPr>
                <w:lang w:val="en-US"/>
              </w:rPr>
              <w:t>0.3814</w:t>
            </w:r>
          </w:p>
        </w:tc>
      </w:tr>
      <w:tr w:rsidR="00724FAD" w:rsidTr="006558A5">
        <w:tc>
          <w:tcPr>
            <w:tcW w:w="1535" w:type="dxa"/>
          </w:tcPr>
          <w:p w:rsidR="00724FAD" w:rsidRDefault="00724FAD" w:rsidP="006558A5">
            <w:pPr>
              <w:pStyle w:val="Paragraphedeliste"/>
              <w:ind w:left="0"/>
              <w:rPr>
                <w:lang w:val="en-US"/>
              </w:rPr>
            </w:pPr>
            <w:r>
              <w:rPr>
                <w:lang w:val="en-US"/>
              </w:rPr>
              <w:t xml:space="preserve">TPIB </w:t>
            </w:r>
          </w:p>
        </w:tc>
        <w:tc>
          <w:tcPr>
            <w:tcW w:w="1535" w:type="dxa"/>
          </w:tcPr>
          <w:p w:rsidR="00724FAD" w:rsidRDefault="00724FAD" w:rsidP="006558A5">
            <w:pPr>
              <w:pStyle w:val="Paragraphedeliste"/>
              <w:ind w:left="0"/>
              <w:rPr>
                <w:lang w:val="en-US"/>
              </w:rPr>
            </w:pPr>
            <w:r>
              <w:rPr>
                <w:lang w:val="en-US"/>
              </w:rPr>
              <w:t>0.0604</w:t>
            </w:r>
          </w:p>
        </w:tc>
        <w:tc>
          <w:tcPr>
            <w:tcW w:w="1535" w:type="dxa"/>
          </w:tcPr>
          <w:p w:rsidR="00724FAD" w:rsidRDefault="00724FAD" w:rsidP="006558A5">
            <w:pPr>
              <w:pStyle w:val="Paragraphedeliste"/>
              <w:ind w:left="0"/>
              <w:rPr>
                <w:lang w:val="en-US"/>
              </w:rPr>
            </w:pPr>
            <w:r>
              <w:rPr>
                <w:lang w:val="en-US"/>
              </w:rPr>
              <w:t>0.0589</w:t>
            </w:r>
          </w:p>
        </w:tc>
        <w:tc>
          <w:tcPr>
            <w:tcW w:w="1535" w:type="dxa"/>
          </w:tcPr>
          <w:p w:rsidR="00724FAD" w:rsidRDefault="00724FAD" w:rsidP="006558A5">
            <w:pPr>
              <w:pStyle w:val="Paragraphedeliste"/>
              <w:ind w:left="0"/>
              <w:rPr>
                <w:lang w:val="en-US"/>
              </w:rPr>
            </w:pPr>
            <w:r>
              <w:rPr>
                <w:lang w:val="en-US"/>
              </w:rPr>
              <w:t>-0.1125</w:t>
            </w:r>
          </w:p>
        </w:tc>
        <w:tc>
          <w:tcPr>
            <w:tcW w:w="1536" w:type="dxa"/>
          </w:tcPr>
          <w:p w:rsidR="00724FAD" w:rsidRDefault="00724FAD" w:rsidP="006558A5">
            <w:pPr>
              <w:pStyle w:val="Paragraphedeliste"/>
              <w:ind w:left="0"/>
              <w:rPr>
                <w:lang w:val="en-US"/>
              </w:rPr>
            </w:pPr>
            <w:r>
              <w:rPr>
                <w:lang w:val="en-US"/>
              </w:rPr>
              <w:t>0.0670</w:t>
            </w:r>
          </w:p>
        </w:tc>
        <w:tc>
          <w:tcPr>
            <w:tcW w:w="1536" w:type="dxa"/>
          </w:tcPr>
          <w:p w:rsidR="00724FAD" w:rsidRDefault="00724FAD" w:rsidP="006558A5">
            <w:pPr>
              <w:pStyle w:val="Paragraphedeliste"/>
              <w:ind w:left="0"/>
              <w:rPr>
                <w:lang w:val="en-US"/>
              </w:rPr>
            </w:pPr>
            <w:r>
              <w:rPr>
                <w:lang w:val="en-US"/>
              </w:rPr>
              <w:t>-0.0117</w:t>
            </w:r>
          </w:p>
        </w:tc>
      </w:tr>
      <w:tr w:rsidR="00724FAD" w:rsidTr="006558A5">
        <w:tc>
          <w:tcPr>
            <w:tcW w:w="1535" w:type="dxa"/>
          </w:tcPr>
          <w:p w:rsidR="00724FAD" w:rsidRDefault="00724FAD" w:rsidP="006558A5">
            <w:pPr>
              <w:pStyle w:val="Paragraphedeliste"/>
              <w:ind w:left="0"/>
              <w:rPr>
                <w:lang w:val="en-US"/>
              </w:rPr>
            </w:pPr>
            <w:r>
              <w:rPr>
                <w:lang w:val="en-US"/>
              </w:rPr>
              <w:t>TINF</w:t>
            </w:r>
          </w:p>
        </w:tc>
        <w:tc>
          <w:tcPr>
            <w:tcW w:w="1535" w:type="dxa"/>
          </w:tcPr>
          <w:p w:rsidR="00724FAD" w:rsidRDefault="00724FAD" w:rsidP="006558A5">
            <w:pPr>
              <w:pStyle w:val="Paragraphedeliste"/>
              <w:ind w:left="0"/>
              <w:rPr>
                <w:lang w:val="en-US"/>
              </w:rPr>
            </w:pPr>
            <w:r>
              <w:rPr>
                <w:lang w:val="en-US"/>
              </w:rPr>
              <w:t>-0.1196</w:t>
            </w:r>
          </w:p>
        </w:tc>
        <w:tc>
          <w:tcPr>
            <w:tcW w:w="1535" w:type="dxa"/>
          </w:tcPr>
          <w:p w:rsidR="00724FAD" w:rsidRDefault="00724FAD" w:rsidP="006558A5">
            <w:pPr>
              <w:pStyle w:val="Paragraphedeliste"/>
              <w:ind w:left="0"/>
              <w:rPr>
                <w:lang w:val="en-US"/>
              </w:rPr>
            </w:pPr>
            <w:r>
              <w:rPr>
                <w:lang w:val="en-US"/>
              </w:rPr>
              <w:t>-0.0893</w:t>
            </w:r>
          </w:p>
        </w:tc>
        <w:tc>
          <w:tcPr>
            <w:tcW w:w="1535" w:type="dxa"/>
          </w:tcPr>
          <w:p w:rsidR="00724FAD" w:rsidRDefault="00724FAD" w:rsidP="006558A5">
            <w:pPr>
              <w:pStyle w:val="Paragraphedeliste"/>
              <w:ind w:left="0"/>
              <w:rPr>
                <w:lang w:val="en-US"/>
              </w:rPr>
            </w:pPr>
            <w:r>
              <w:rPr>
                <w:lang w:val="en-US"/>
              </w:rPr>
              <w:t>0.3426</w:t>
            </w:r>
          </w:p>
        </w:tc>
        <w:tc>
          <w:tcPr>
            <w:tcW w:w="1536" w:type="dxa"/>
          </w:tcPr>
          <w:p w:rsidR="00724FAD" w:rsidRDefault="00724FAD" w:rsidP="006558A5">
            <w:pPr>
              <w:pStyle w:val="Paragraphedeliste"/>
              <w:ind w:left="0"/>
              <w:rPr>
                <w:lang w:val="en-US"/>
              </w:rPr>
            </w:pPr>
            <w:r>
              <w:rPr>
                <w:lang w:val="en-US"/>
              </w:rPr>
              <w:t>-0.038</w:t>
            </w:r>
          </w:p>
        </w:tc>
        <w:tc>
          <w:tcPr>
            <w:tcW w:w="1536" w:type="dxa"/>
          </w:tcPr>
          <w:p w:rsidR="00724FAD" w:rsidRDefault="00724FAD" w:rsidP="006558A5">
            <w:pPr>
              <w:pStyle w:val="Paragraphedeliste"/>
              <w:ind w:left="0"/>
              <w:rPr>
                <w:lang w:val="en-US"/>
              </w:rPr>
            </w:pPr>
            <w:r>
              <w:rPr>
                <w:lang w:val="en-US"/>
              </w:rPr>
              <w:t>0.2111</w:t>
            </w:r>
          </w:p>
        </w:tc>
      </w:tr>
    </w:tbl>
    <w:p w:rsidR="00724FAD" w:rsidRPr="00C108C8" w:rsidRDefault="00724FAD" w:rsidP="00724FAD">
      <w:pPr>
        <w:pStyle w:val="Paragraphedeliste"/>
        <w:rPr>
          <w:lang w:val="en-US"/>
        </w:rPr>
      </w:pPr>
    </w:p>
    <w:p w:rsidR="00724FAD" w:rsidRPr="00C108C8" w:rsidRDefault="00724FAD" w:rsidP="00724FAD">
      <w:pPr>
        <w:pStyle w:val="Paragraphedeliste"/>
        <w:rPr>
          <w:lang w:val="en-US"/>
        </w:rPr>
      </w:pPr>
    </w:p>
    <w:p w:rsidR="00724FAD" w:rsidRDefault="00724FAD" w:rsidP="00724FAD">
      <w:pPr>
        <w:pStyle w:val="NormalWeb"/>
        <w:spacing w:before="0" w:beforeAutospacing="0" w:after="240" w:afterAutospacing="0"/>
        <w:textAlignment w:val="baseline"/>
        <w:rPr>
          <w:color w:val="555555"/>
          <w:lang w:val="en-US"/>
        </w:rPr>
      </w:pPr>
    </w:p>
    <w:p w:rsidR="00724FAD" w:rsidRDefault="00724FAD" w:rsidP="00724FAD">
      <w:pPr>
        <w:pStyle w:val="NormalWeb"/>
        <w:spacing w:before="0" w:beforeAutospacing="0" w:after="240" w:afterAutospacing="0"/>
        <w:textAlignment w:val="baseline"/>
        <w:rPr>
          <w:color w:val="555555"/>
          <w:lang w:val="en-US"/>
        </w:rPr>
      </w:pPr>
    </w:p>
    <w:p w:rsidR="00724FAD" w:rsidRDefault="00724FAD" w:rsidP="00724FAD">
      <w:pPr>
        <w:pStyle w:val="NormalWeb"/>
        <w:spacing w:before="0" w:beforeAutospacing="0" w:after="240" w:afterAutospacing="0"/>
        <w:textAlignment w:val="baseline"/>
        <w:rPr>
          <w:color w:val="555555"/>
          <w:lang w:val="en-US"/>
        </w:rPr>
      </w:pPr>
      <w:r>
        <w:rPr>
          <w:color w:val="555555"/>
          <w:lang w:val="en-US"/>
        </w:rPr>
        <w:t xml:space="preserve">Table4 : suite of correlation between variables </w:t>
      </w:r>
    </w:p>
    <w:tbl>
      <w:tblPr>
        <w:tblStyle w:val="Grilledutableau"/>
        <w:tblW w:w="0" w:type="auto"/>
        <w:tblLook w:val="04A0"/>
      </w:tblPr>
      <w:tblGrid>
        <w:gridCol w:w="1056"/>
        <w:gridCol w:w="1023"/>
        <w:gridCol w:w="1023"/>
        <w:gridCol w:w="1023"/>
        <w:gridCol w:w="1024"/>
        <w:gridCol w:w="1024"/>
        <w:gridCol w:w="1056"/>
        <w:gridCol w:w="1024"/>
        <w:gridCol w:w="1024"/>
      </w:tblGrid>
      <w:tr w:rsidR="00724FAD" w:rsidTr="006558A5">
        <w:tc>
          <w:tcPr>
            <w:tcW w:w="1023" w:type="dxa"/>
          </w:tcPr>
          <w:p w:rsidR="00724FAD" w:rsidRDefault="00724FAD" w:rsidP="006558A5">
            <w:pPr>
              <w:pStyle w:val="NormalWeb"/>
              <w:spacing w:before="0" w:beforeAutospacing="0" w:after="240" w:afterAutospacing="0"/>
              <w:textAlignment w:val="baseline"/>
              <w:rPr>
                <w:color w:val="555555"/>
                <w:lang w:val="en-US"/>
              </w:rPr>
            </w:pP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NIM</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 xml:space="preserve">Size </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CAP</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CEA</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CFC</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 xml:space="preserve">Tdeposit </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 xml:space="preserve">TPIB </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TINF</w:t>
            </w:r>
          </w:p>
        </w:tc>
      </w:tr>
      <w:tr w:rsidR="00724FAD" w:rsidTr="006558A5">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NIM</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1.000</w:t>
            </w:r>
          </w:p>
        </w:tc>
        <w:tc>
          <w:tcPr>
            <w:tcW w:w="1023" w:type="dxa"/>
          </w:tcPr>
          <w:p w:rsidR="00724FAD" w:rsidRDefault="00724FAD" w:rsidP="006558A5">
            <w:pPr>
              <w:pStyle w:val="NormalWeb"/>
              <w:spacing w:before="0" w:beforeAutospacing="0" w:after="240" w:afterAutospacing="0"/>
              <w:textAlignment w:val="baseline"/>
              <w:rPr>
                <w:color w:val="555555"/>
                <w:lang w:val="en-US"/>
              </w:rPr>
            </w:pPr>
          </w:p>
        </w:tc>
        <w:tc>
          <w:tcPr>
            <w:tcW w:w="1023"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r>
      <w:tr w:rsidR="00724FAD" w:rsidTr="006558A5">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 xml:space="preserve">Size </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0.0255</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1.000</w:t>
            </w:r>
          </w:p>
        </w:tc>
        <w:tc>
          <w:tcPr>
            <w:tcW w:w="1023"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r>
      <w:tr w:rsidR="00724FAD" w:rsidTr="006558A5">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CAP</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0.0615</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-0.35</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1.000</w:t>
            </w: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r>
      <w:tr w:rsidR="00724FAD" w:rsidTr="006558A5">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CEA</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-0.0641</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0.12</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-0.0076</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1.000</w:t>
            </w: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r>
      <w:tr w:rsidR="00724FAD" w:rsidTr="006558A5">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CFC</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-0.1476</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0.1384</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-0.0227</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0.3142</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1.000</w:t>
            </w: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r>
      <w:tr w:rsidR="00724FAD" w:rsidTr="006558A5">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Tdeposit</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-0.0711</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0.4336</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-0.491</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-0.1459</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-0.1598</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1.000</w:t>
            </w: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r>
      <w:tr w:rsidR="00724FAD" w:rsidTr="006558A5">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 xml:space="preserve">TPIB </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-0.0250</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-0.25</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0.0123</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0.0123</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-0.1314</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-0.2233</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1.000</w:t>
            </w:r>
          </w:p>
        </w:tc>
        <w:tc>
          <w:tcPr>
            <w:tcW w:w="1024" w:type="dxa"/>
          </w:tcPr>
          <w:p w:rsidR="00724FAD" w:rsidRDefault="00724FAD" w:rsidP="006558A5">
            <w:pPr>
              <w:pStyle w:val="NormalWeb"/>
              <w:spacing w:before="0" w:beforeAutospacing="0" w:after="240" w:afterAutospacing="0"/>
              <w:textAlignment w:val="baseline"/>
              <w:rPr>
                <w:color w:val="555555"/>
                <w:lang w:val="en-US"/>
              </w:rPr>
            </w:pPr>
          </w:p>
        </w:tc>
      </w:tr>
      <w:tr w:rsidR="00724FAD" w:rsidTr="006558A5">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 xml:space="preserve">TINF </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0.0434</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0.42</w:t>
            </w:r>
          </w:p>
        </w:tc>
        <w:tc>
          <w:tcPr>
            <w:tcW w:w="1023"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-0.1064</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-0.1064</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0.1031</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0.1271</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-0.5512</w:t>
            </w:r>
          </w:p>
        </w:tc>
        <w:tc>
          <w:tcPr>
            <w:tcW w:w="1024" w:type="dxa"/>
          </w:tcPr>
          <w:p w:rsidR="00724FAD" w:rsidRDefault="00724FAD" w:rsidP="006558A5">
            <w:pPr>
              <w:pStyle w:val="NormalWeb"/>
              <w:spacing w:before="0" w:beforeAutospacing="0" w:after="240" w:afterAutospacing="0"/>
              <w:textAlignment w:val="baseline"/>
              <w:rPr>
                <w:color w:val="555555"/>
                <w:lang w:val="en-US"/>
              </w:rPr>
            </w:pPr>
            <w:r>
              <w:rPr>
                <w:color w:val="555555"/>
                <w:lang w:val="en-US"/>
              </w:rPr>
              <w:t>1.000</w:t>
            </w:r>
          </w:p>
        </w:tc>
      </w:tr>
    </w:tbl>
    <w:p w:rsidR="00724FAD" w:rsidRDefault="00724FAD" w:rsidP="00724FAD">
      <w:pPr>
        <w:pStyle w:val="NormalWeb"/>
        <w:spacing w:before="0" w:beforeAutospacing="0" w:after="240" w:afterAutospacing="0"/>
        <w:textAlignment w:val="baseline"/>
        <w:rPr>
          <w:color w:val="555555"/>
          <w:lang w:val="en-US"/>
        </w:rPr>
      </w:pPr>
    </w:p>
    <w:p w:rsidR="00724FAD" w:rsidRPr="00C108C8" w:rsidRDefault="00724FAD" w:rsidP="00724FAD">
      <w:pPr>
        <w:pStyle w:val="NormalWeb"/>
        <w:spacing w:before="0" w:beforeAutospacing="0" w:after="240" w:afterAutospacing="0"/>
        <w:textAlignment w:val="baseline"/>
        <w:rPr>
          <w:color w:val="555555"/>
          <w:lang w:val="en-US"/>
        </w:rPr>
      </w:pPr>
      <w:r>
        <w:rPr>
          <w:color w:val="555555"/>
          <w:lang w:val="en-US"/>
        </w:rPr>
        <w:t>All the coefficients are inferior to 80% . There is no problem of multicolinearity</w:t>
      </w:r>
    </w:p>
    <w:p w:rsidR="00724FAD" w:rsidRDefault="00724FAD" w:rsidP="00724FAD">
      <w:pPr>
        <w:rPr>
          <w:sz w:val="28"/>
          <w:szCs w:val="28"/>
          <w:lang w:val="en-US"/>
        </w:rPr>
      </w:pPr>
      <w:r>
        <w:rPr>
          <w:sz w:val="28"/>
          <w:szCs w:val="28"/>
          <w:lang w:val="en-US"/>
        </w:rPr>
        <w:t>VIF test</w:t>
      </w:r>
    </w:p>
    <w:p w:rsidR="00724FAD" w:rsidRPr="00FE270D" w:rsidRDefault="00724FAD" w:rsidP="00724FAD">
      <w:pPr>
        <w:rPr>
          <w:sz w:val="24"/>
          <w:szCs w:val="24"/>
          <w:lang w:val="en-US"/>
        </w:rPr>
      </w:pPr>
      <w:r w:rsidRPr="00FE270D">
        <w:rPr>
          <w:sz w:val="24"/>
          <w:szCs w:val="24"/>
          <w:lang w:val="en-US"/>
        </w:rPr>
        <w:t xml:space="preserve">VIF= variance inflation factor </w:t>
      </w:r>
    </w:p>
    <w:p w:rsidR="00724FAD" w:rsidRPr="00FE270D" w:rsidRDefault="00724FAD" w:rsidP="00724FAD">
      <w:pPr>
        <w:rPr>
          <w:sz w:val="24"/>
          <w:szCs w:val="24"/>
          <w:lang w:val="en-US"/>
        </w:rPr>
      </w:pPr>
      <w:r w:rsidRPr="00FE270D">
        <w:rPr>
          <w:sz w:val="24"/>
          <w:szCs w:val="24"/>
          <w:lang w:val="en-US"/>
        </w:rPr>
        <w:t>VIF= 1/1-Ri</w:t>
      </w:r>
      <w:r w:rsidRPr="00FE270D">
        <w:rPr>
          <w:sz w:val="24"/>
          <w:szCs w:val="24"/>
          <w:vertAlign w:val="superscript"/>
          <w:lang w:val="en-US"/>
        </w:rPr>
        <w:t>2</w:t>
      </w:r>
    </w:p>
    <w:p w:rsidR="00724FAD" w:rsidRPr="00FE270D" w:rsidRDefault="00724FAD" w:rsidP="00724FAD">
      <w:pPr>
        <w:pStyle w:val="NormalWeb"/>
        <w:shd w:val="clear" w:color="auto" w:fill="FFFFFF"/>
        <w:jc w:val="both"/>
        <w:rPr>
          <w:rFonts w:ascii="Segoe UI" w:hAnsi="Segoe UI" w:cs="Segoe UI"/>
          <w:color w:val="57595D"/>
          <w:lang w:val="en-US"/>
        </w:rPr>
      </w:pPr>
      <w:r w:rsidRPr="00FE270D">
        <w:rPr>
          <w:rFonts w:ascii="Segoe UI" w:hAnsi="Segoe UI" w:cs="Segoe UI"/>
          <w:color w:val="57595D"/>
          <w:lang w:val="en-US"/>
        </w:rPr>
        <w:t>Where </w:t>
      </w:r>
      <w:r w:rsidRPr="00FE270D">
        <w:rPr>
          <w:rStyle w:val="lev"/>
          <w:rFonts w:ascii="Segoe UI" w:hAnsi="Segoe UI" w:cs="Segoe UI"/>
          <w:color w:val="57595D"/>
          <w:lang w:val="en-US"/>
        </w:rPr>
        <w:t>R</w:t>
      </w:r>
      <w:r w:rsidRPr="00FE270D">
        <w:rPr>
          <w:rStyle w:val="lev"/>
          <w:rFonts w:ascii="Segoe UI" w:hAnsi="Segoe UI" w:cs="Segoe UI"/>
          <w:color w:val="57595D"/>
          <w:vertAlign w:val="subscript"/>
          <w:lang w:val="en-US"/>
        </w:rPr>
        <w:t>i</w:t>
      </w:r>
      <w:r w:rsidRPr="00FE270D">
        <w:rPr>
          <w:rStyle w:val="lev"/>
          <w:rFonts w:ascii="Segoe UI" w:hAnsi="Segoe UI" w:cs="Segoe UI"/>
          <w:color w:val="57595D"/>
          <w:vertAlign w:val="superscript"/>
          <w:lang w:val="en-US"/>
        </w:rPr>
        <w:t>2</w:t>
      </w:r>
      <w:r w:rsidRPr="00FE270D">
        <w:rPr>
          <w:rStyle w:val="lev"/>
          <w:rFonts w:ascii="Segoe UI" w:hAnsi="Segoe UI" w:cs="Segoe UI"/>
          <w:color w:val="57595D"/>
          <w:lang w:val="en-US"/>
        </w:rPr>
        <w:t> </w:t>
      </w:r>
      <w:r w:rsidRPr="00FE270D">
        <w:rPr>
          <w:rFonts w:ascii="Segoe UI" w:hAnsi="Segoe UI" w:cs="Segoe UI"/>
          <w:color w:val="57595D"/>
          <w:lang w:val="en-US"/>
        </w:rPr>
        <w:t>represents the unadjusted coefficient of determination for regressing the i</w:t>
      </w:r>
      <w:r w:rsidRPr="00FE270D">
        <w:rPr>
          <w:rFonts w:ascii="Segoe UI" w:hAnsi="Segoe UI" w:cs="Segoe UI"/>
          <w:color w:val="57595D"/>
          <w:vertAlign w:val="superscript"/>
          <w:lang w:val="en-US"/>
        </w:rPr>
        <w:t>th</w:t>
      </w:r>
      <w:r w:rsidRPr="00FE270D">
        <w:rPr>
          <w:rFonts w:ascii="Segoe UI" w:hAnsi="Segoe UI" w:cs="Segoe UI"/>
          <w:color w:val="57595D"/>
          <w:lang w:val="en-US"/>
        </w:rPr>
        <w:t> independent variable on the remaining ones. The reciprocal of VIF is known as </w:t>
      </w:r>
      <w:r w:rsidRPr="00FE270D">
        <w:rPr>
          <w:rStyle w:val="lev"/>
          <w:rFonts w:ascii="Segoe UI" w:hAnsi="Segoe UI" w:cs="Segoe UI"/>
          <w:color w:val="57595D"/>
          <w:lang w:val="en-US"/>
        </w:rPr>
        <w:t>tolerance</w:t>
      </w:r>
      <w:r w:rsidRPr="00FE270D">
        <w:rPr>
          <w:rFonts w:ascii="Segoe UI" w:hAnsi="Segoe UI" w:cs="Segoe UI"/>
          <w:color w:val="57595D"/>
          <w:lang w:val="en-US"/>
        </w:rPr>
        <w:t>. Either VIF or tolerance can be used to detect multicollinearity, depending on personal preference.</w:t>
      </w:r>
    </w:p>
    <w:p w:rsidR="00724FAD" w:rsidRPr="00FE270D" w:rsidRDefault="00724FAD" w:rsidP="00724FAD">
      <w:pPr>
        <w:pStyle w:val="NormalWeb"/>
        <w:shd w:val="clear" w:color="auto" w:fill="FFFFFF"/>
        <w:jc w:val="both"/>
        <w:rPr>
          <w:rFonts w:ascii="Segoe UI" w:hAnsi="Segoe UI" w:cs="Segoe UI"/>
          <w:color w:val="57595D"/>
          <w:lang w:val="en-US"/>
        </w:rPr>
      </w:pPr>
      <w:r w:rsidRPr="00FE270D">
        <w:rPr>
          <w:rFonts w:ascii="Segoe UI" w:hAnsi="Segoe UI" w:cs="Segoe UI"/>
          <w:color w:val="57595D"/>
          <w:lang w:val="en-US"/>
        </w:rPr>
        <w:t>If R</w:t>
      </w:r>
      <w:r w:rsidRPr="00FE270D">
        <w:rPr>
          <w:rFonts w:ascii="Segoe UI" w:hAnsi="Segoe UI" w:cs="Segoe UI"/>
          <w:color w:val="57595D"/>
          <w:vertAlign w:val="subscript"/>
          <w:lang w:val="en-US"/>
        </w:rPr>
        <w:t>i</w:t>
      </w:r>
      <w:r w:rsidRPr="00FE270D">
        <w:rPr>
          <w:rFonts w:ascii="Segoe UI" w:hAnsi="Segoe UI" w:cs="Segoe UI"/>
          <w:color w:val="57595D"/>
          <w:vertAlign w:val="superscript"/>
          <w:lang w:val="en-US"/>
        </w:rPr>
        <w:t>2</w:t>
      </w:r>
      <w:r w:rsidRPr="00FE270D">
        <w:rPr>
          <w:rFonts w:ascii="Segoe UI" w:hAnsi="Segoe UI" w:cs="Segoe UI"/>
          <w:color w:val="57595D"/>
          <w:lang w:val="en-US"/>
        </w:rPr>
        <w:t> is equal to 0, the variance of the remaining independent variables cannot be predicted from the i</w:t>
      </w:r>
      <w:r w:rsidRPr="00FE270D">
        <w:rPr>
          <w:rFonts w:ascii="Segoe UI" w:hAnsi="Segoe UI" w:cs="Segoe UI"/>
          <w:color w:val="57595D"/>
          <w:vertAlign w:val="superscript"/>
          <w:lang w:val="en-US"/>
        </w:rPr>
        <w:t>th</w:t>
      </w:r>
      <w:r w:rsidRPr="00FE270D">
        <w:rPr>
          <w:rFonts w:ascii="Segoe UI" w:hAnsi="Segoe UI" w:cs="Segoe UI"/>
          <w:color w:val="57595D"/>
          <w:lang w:val="en-US"/>
        </w:rPr>
        <w:t> independent variable. Therefore, when VIF or tolerance is equal to 1, the i</w:t>
      </w:r>
      <w:r w:rsidRPr="00FE270D">
        <w:rPr>
          <w:rFonts w:ascii="Segoe UI" w:hAnsi="Segoe UI" w:cs="Segoe UI"/>
          <w:color w:val="57595D"/>
          <w:vertAlign w:val="superscript"/>
          <w:lang w:val="en-US"/>
        </w:rPr>
        <w:t>th</w:t>
      </w:r>
      <w:r w:rsidRPr="00FE270D">
        <w:rPr>
          <w:rFonts w:ascii="Segoe UI" w:hAnsi="Segoe UI" w:cs="Segoe UI"/>
          <w:color w:val="57595D"/>
          <w:lang w:val="en-US"/>
        </w:rPr>
        <w:t> independent variable is not correlated to the remaining ones, which means multicollinearity does not exist in this regression model. In this case, the variance of the i</w:t>
      </w:r>
      <w:r w:rsidRPr="00FE270D">
        <w:rPr>
          <w:rFonts w:ascii="Segoe UI" w:hAnsi="Segoe UI" w:cs="Segoe UI"/>
          <w:color w:val="57595D"/>
          <w:vertAlign w:val="superscript"/>
          <w:lang w:val="en-US"/>
        </w:rPr>
        <w:t>th</w:t>
      </w:r>
      <w:r w:rsidRPr="00FE270D">
        <w:rPr>
          <w:rFonts w:ascii="Segoe UI" w:hAnsi="Segoe UI" w:cs="Segoe UI"/>
          <w:color w:val="57595D"/>
          <w:lang w:val="en-US"/>
        </w:rPr>
        <w:t> regression coefficient is not inflated.</w:t>
      </w:r>
    </w:p>
    <w:p w:rsidR="00724FAD" w:rsidRPr="00FE270D" w:rsidRDefault="00724FAD" w:rsidP="00724FAD">
      <w:pPr>
        <w:pStyle w:val="NormalWeb"/>
        <w:shd w:val="clear" w:color="auto" w:fill="FFFFFF"/>
        <w:rPr>
          <w:rFonts w:ascii="Segoe UI" w:hAnsi="Segoe UI" w:cs="Segoe UI"/>
          <w:color w:val="57595D"/>
          <w:lang w:val="en-US"/>
        </w:rPr>
      </w:pPr>
      <w:r w:rsidRPr="00FE270D">
        <w:rPr>
          <w:rFonts w:ascii="Segoe UI" w:hAnsi="Segoe UI" w:cs="Segoe UI"/>
          <w:color w:val="57595D"/>
          <w:lang w:val="en-US"/>
        </w:rPr>
        <w:lastRenderedPageBreak/>
        <w:t>Generally, a VIF above 4 or tolerance below 0.25 indicates that multicollinearity might exist, and further investigation is required. When VIF is higher than 10 or tolerance is lower than 0.1, there is significant multicollinearity that needs to be corrected.</w:t>
      </w:r>
    </w:p>
    <w:p w:rsidR="00724FAD" w:rsidRPr="00FE270D" w:rsidRDefault="00724FAD" w:rsidP="00724FAD">
      <w:pPr>
        <w:pStyle w:val="NormalWeb"/>
        <w:shd w:val="clear" w:color="auto" w:fill="FFFFFF"/>
        <w:rPr>
          <w:rFonts w:ascii="Segoe UI" w:hAnsi="Segoe UI" w:cs="Segoe UI"/>
          <w:color w:val="57595D"/>
          <w:lang w:val="en-US"/>
        </w:rPr>
      </w:pPr>
      <w:r w:rsidRPr="00FE270D">
        <w:rPr>
          <w:rFonts w:ascii="Segoe UI" w:hAnsi="Segoe UI" w:cs="Segoe UI"/>
          <w:color w:val="57595D"/>
          <w:lang w:val="en-US"/>
        </w:rPr>
        <w:t>However, there are also situations where high VFIs can be safely ignored without suffering from multicollinearity. The following are three such situations:</w:t>
      </w:r>
    </w:p>
    <w:p w:rsidR="00724FAD" w:rsidRPr="00FE270D" w:rsidRDefault="00724FAD" w:rsidP="00724FAD">
      <w:pPr>
        <w:pStyle w:val="NormalWeb"/>
        <w:shd w:val="clear" w:color="auto" w:fill="FFFFFF"/>
        <w:rPr>
          <w:rFonts w:ascii="Segoe UI" w:hAnsi="Segoe UI" w:cs="Segoe UI"/>
          <w:color w:val="57595D"/>
          <w:lang w:val="en-US"/>
        </w:rPr>
      </w:pPr>
      <w:r w:rsidRPr="00FE270D">
        <w:rPr>
          <w:rFonts w:ascii="Segoe UI" w:hAnsi="Segoe UI" w:cs="Segoe UI"/>
          <w:color w:val="57595D"/>
          <w:lang w:val="en-US"/>
        </w:rPr>
        <w:t>1. High VIFs only exist in control variables but not in variables of interest. In this case, the variables of interest are not collinear to each other or the control variables. The regression coefficients are not impacted.</w:t>
      </w:r>
    </w:p>
    <w:p w:rsidR="00724FAD" w:rsidRPr="00FE270D" w:rsidRDefault="00724FAD" w:rsidP="00724FAD">
      <w:pPr>
        <w:pStyle w:val="NormalWeb"/>
        <w:shd w:val="clear" w:color="auto" w:fill="FFFFFF"/>
        <w:rPr>
          <w:rFonts w:ascii="Segoe UI" w:hAnsi="Segoe UI" w:cs="Segoe UI"/>
          <w:color w:val="57595D"/>
          <w:lang w:val="en-US"/>
        </w:rPr>
      </w:pPr>
      <w:r w:rsidRPr="00FE270D">
        <w:rPr>
          <w:rFonts w:ascii="Segoe UI" w:hAnsi="Segoe UI" w:cs="Segoe UI"/>
          <w:color w:val="57595D"/>
          <w:lang w:val="en-US"/>
        </w:rPr>
        <w:t>2. When high VIFs are caused as a result of the inclusion of the products or powers of other variables, multicollinearity does not cause negative impacts. For example, a regression model includes both x and x</w:t>
      </w:r>
      <w:r w:rsidRPr="00FE270D">
        <w:rPr>
          <w:rFonts w:ascii="Segoe UI" w:hAnsi="Segoe UI" w:cs="Segoe UI"/>
          <w:color w:val="57595D"/>
          <w:vertAlign w:val="superscript"/>
          <w:lang w:val="en-US"/>
        </w:rPr>
        <w:t>2</w:t>
      </w:r>
      <w:r w:rsidRPr="00FE270D">
        <w:rPr>
          <w:rFonts w:ascii="Segoe UI" w:hAnsi="Segoe UI" w:cs="Segoe UI"/>
          <w:color w:val="57595D"/>
          <w:lang w:val="en-US"/>
        </w:rPr>
        <w:t> as its independent variables.</w:t>
      </w:r>
    </w:p>
    <w:p w:rsidR="00724FAD" w:rsidRPr="00FE270D" w:rsidRDefault="00724FAD" w:rsidP="00724FAD">
      <w:pPr>
        <w:pStyle w:val="NormalWeb"/>
        <w:shd w:val="clear" w:color="auto" w:fill="FFFFFF"/>
        <w:rPr>
          <w:rFonts w:ascii="Segoe UI" w:hAnsi="Segoe UI" w:cs="Segoe UI"/>
          <w:color w:val="57595D"/>
          <w:lang w:val="en-US"/>
        </w:rPr>
      </w:pPr>
      <w:r w:rsidRPr="00FE270D">
        <w:rPr>
          <w:rFonts w:ascii="Segoe UI" w:hAnsi="Segoe UI" w:cs="Segoe UI"/>
          <w:color w:val="57595D"/>
          <w:lang w:val="en-US"/>
        </w:rPr>
        <w:t>3. When a dummy variable that represents more than two categories has a high VIF, multicollinearity does not necessarily exist. The variables will always have high VIFs if there is a small portion of cases in the category, regardless of whether the categorical variables are correlated to other variables.</w:t>
      </w:r>
    </w:p>
    <w:p w:rsidR="00724FAD" w:rsidRDefault="00724FAD" w:rsidP="00724FAD">
      <w:pPr>
        <w:pStyle w:val="Paragraphedeliste"/>
        <w:rPr>
          <w:lang w:val="en-US"/>
        </w:rPr>
      </w:pPr>
    </w:p>
    <w:p w:rsidR="00724FAD" w:rsidRPr="00FE270D" w:rsidRDefault="00724FAD" w:rsidP="00724FAD">
      <w:pPr>
        <w:pStyle w:val="Paragraphedeliste"/>
        <w:rPr>
          <w:sz w:val="24"/>
          <w:szCs w:val="24"/>
          <w:lang w:val="en-US"/>
        </w:rPr>
      </w:pPr>
    </w:p>
    <w:p w:rsidR="00724FAD" w:rsidRPr="00FE270D" w:rsidRDefault="00724FAD" w:rsidP="00724FAD">
      <w:pPr>
        <w:pStyle w:val="Paragraphedeliste"/>
        <w:rPr>
          <w:sz w:val="24"/>
          <w:szCs w:val="24"/>
          <w:lang w:val="en-US"/>
        </w:rPr>
      </w:pPr>
      <w:r w:rsidRPr="00FE270D">
        <w:rPr>
          <w:sz w:val="24"/>
          <w:szCs w:val="24"/>
          <w:lang w:val="en-US"/>
        </w:rPr>
        <w:t xml:space="preserve">Table </w:t>
      </w:r>
      <w:r>
        <w:rPr>
          <w:sz w:val="24"/>
          <w:szCs w:val="24"/>
          <w:lang w:val="en-US"/>
        </w:rPr>
        <w:t>5</w:t>
      </w:r>
    </w:p>
    <w:tbl>
      <w:tblPr>
        <w:tblStyle w:val="Grilledutableau"/>
        <w:tblW w:w="0" w:type="auto"/>
        <w:tblInd w:w="720" w:type="dxa"/>
        <w:tblLook w:val="04A0"/>
      </w:tblPr>
      <w:tblGrid>
        <w:gridCol w:w="2879"/>
        <w:gridCol w:w="2839"/>
        <w:gridCol w:w="2850"/>
      </w:tblGrid>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 xml:space="preserve">Variable </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VIF</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1/VIF</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CAP</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2.93</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0.34</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 xml:space="preserve">Tdeposit </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2.60</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0.38</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CD</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2.09</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0.47</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 xml:space="preserve">Size </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1.84</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0.54</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 xml:space="preserve">TINF </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1.75</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0.57</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 xml:space="preserve">ROE </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1.59</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0.62</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 xml:space="preserve">TPIB </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1.53</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0.65</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 xml:space="preserve">ROA </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1.49</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0.67</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ALA</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1.40</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0.71</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CFC</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1.32</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0.75</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CEA</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1.20</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0.83</w:t>
            </w:r>
          </w:p>
        </w:tc>
      </w:tr>
      <w:tr w:rsidR="00724FAD" w:rsidRPr="00FE270D" w:rsidTr="006558A5">
        <w:tc>
          <w:tcPr>
            <w:tcW w:w="3070" w:type="dxa"/>
          </w:tcPr>
          <w:p w:rsidR="00724FAD" w:rsidRPr="00FE270D" w:rsidRDefault="00724FAD" w:rsidP="006558A5">
            <w:pPr>
              <w:pStyle w:val="Paragraphedeliste"/>
              <w:ind w:left="0"/>
              <w:rPr>
                <w:b/>
                <w:sz w:val="24"/>
                <w:szCs w:val="24"/>
                <w:lang w:val="en-US"/>
              </w:rPr>
            </w:pPr>
            <w:r w:rsidRPr="00FE270D">
              <w:rPr>
                <w:b/>
                <w:sz w:val="24"/>
                <w:szCs w:val="24"/>
                <w:lang w:val="en-US"/>
              </w:rPr>
              <w:t>NIM</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1.07</w:t>
            </w:r>
          </w:p>
        </w:tc>
        <w:tc>
          <w:tcPr>
            <w:tcW w:w="3071" w:type="dxa"/>
          </w:tcPr>
          <w:p w:rsidR="00724FAD" w:rsidRPr="00FE270D" w:rsidRDefault="00724FAD" w:rsidP="006558A5">
            <w:pPr>
              <w:pStyle w:val="Paragraphedeliste"/>
              <w:ind w:left="0"/>
              <w:rPr>
                <w:b/>
                <w:sz w:val="24"/>
                <w:szCs w:val="24"/>
                <w:lang w:val="en-US"/>
              </w:rPr>
            </w:pPr>
            <w:r w:rsidRPr="00FE270D">
              <w:rPr>
                <w:b/>
                <w:sz w:val="24"/>
                <w:szCs w:val="24"/>
                <w:lang w:val="en-US"/>
              </w:rPr>
              <w:t>0.93</w:t>
            </w:r>
          </w:p>
        </w:tc>
      </w:tr>
    </w:tbl>
    <w:p w:rsidR="00724FAD" w:rsidRPr="00FE270D" w:rsidRDefault="00724FAD" w:rsidP="00724FAD">
      <w:pPr>
        <w:pStyle w:val="Paragraphedeliste"/>
        <w:rPr>
          <w:b/>
          <w:lang w:val="en-US"/>
        </w:rPr>
      </w:pPr>
    </w:p>
    <w:p w:rsidR="00724FAD" w:rsidRPr="00C108C8" w:rsidRDefault="00724FAD" w:rsidP="00724FAD">
      <w:pPr>
        <w:pStyle w:val="Paragraphedeliste"/>
        <w:rPr>
          <w:lang w:val="en-US"/>
        </w:rPr>
      </w:pPr>
      <w:r>
        <w:rPr>
          <w:lang w:val="en-US"/>
        </w:rPr>
        <w:t>All the coefficient are inferior to 5. There is no problem of multicolinearity .</w:t>
      </w:r>
    </w:p>
    <w:p w:rsidR="00724FAD" w:rsidRPr="00082267" w:rsidRDefault="00724FAD" w:rsidP="00724FAD">
      <w:pPr>
        <w:rPr>
          <w:b/>
          <w:sz w:val="28"/>
          <w:szCs w:val="28"/>
          <w:lang w:val="en-US"/>
        </w:rPr>
      </w:pPr>
      <w:r>
        <w:rPr>
          <w:b/>
          <w:sz w:val="28"/>
          <w:szCs w:val="28"/>
          <w:lang w:val="en-US"/>
        </w:rPr>
        <w:t xml:space="preserve">              F-</w:t>
      </w:r>
      <w:r w:rsidRPr="00082267">
        <w:rPr>
          <w:b/>
          <w:sz w:val="28"/>
          <w:szCs w:val="28"/>
          <w:lang w:val="en-US"/>
        </w:rPr>
        <w:t xml:space="preserve">Hausman test </w:t>
      </w:r>
    </w:p>
    <w:p w:rsidR="00724FAD" w:rsidRDefault="00724FAD" w:rsidP="00724FAD">
      <w:pPr>
        <w:pStyle w:val="Paragraphedeliste"/>
        <w:spacing w:line="360" w:lineRule="auto"/>
        <w:rPr>
          <w:lang w:val="en-US"/>
        </w:rPr>
      </w:pPr>
      <w:r>
        <w:rPr>
          <w:lang w:val="en-US"/>
        </w:rPr>
        <w:t>It is useful to choice between the fixed effect model and random effect model .</w:t>
      </w:r>
    </w:p>
    <w:p w:rsidR="00724FAD" w:rsidRDefault="00724FAD" w:rsidP="00724FAD">
      <w:pPr>
        <w:pStyle w:val="Paragraphedeliste"/>
        <w:spacing w:line="360" w:lineRule="auto"/>
        <w:rPr>
          <w:lang w:val="en-US"/>
        </w:rPr>
      </w:pPr>
      <w:r w:rsidRPr="00D652A2">
        <w:rPr>
          <w:b/>
          <w:lang w:val="en-US"/>
        </w:rPr>
        <w:t>-Fixed effect model</w:t>
      </w:r>
      <w:r>
        <w:rPr>
          <w:lang w:val="en-US"/>
        </w:rPr>
        <w:t xml:space="preserve"> : it is the statistical model in which the model parameters are fixed. In a panel data where longitudinal observation exists for the same subject fixed effect represent </w:t>
      </w:r>
      <w:r>
        <w:rPr>
          <w:lang w:val="en-US"/>
        </w:rPr>
        <w:lastRenderedPageBreak/>
        <w:t xml:space="preserve">the subject ; or specifies means . In the panel data analysis ; the term fixed effect estimator ; also known as the within estimator ; is used to refere to an estimator for the coefficients in the regression model including those fixed effects ( on etime invariant intercept of each subject) . The assumption that if p value is inferior to 0.05 because that all coefficients of this model are not equal to 0 </w:t>
      </w:r>
    </w:p>
    <w:p w:rsidR="00724FAD" w:rsidRPr="00C108C8" w:rsidRDefault="00724FAD" w:rsidP="00724FAD">
      <w:pPr>
        <w:pStyle w:val="Paragraphedeliste"/>
        <w:spacing w:line="360" w:lineRule="auto"/>
        <w:rPr>
          <w:lang w:val="en-US"/>
        </w:rPr>
      </w:pPr>
      <w:r w:rsidRPr="00D652A2">
        <w:rPr>
          <w:b/>
          <w:lang w:val="en-US"/>
        </w:rPr>
        <w:t>-Random effect model</w:t>
      </w:r>
      <w:r>
        <w:rPr>
          <w:lang w:val="en-US"/>
        </w:rPr>
        <w:t xml:space="preserve"> : it also called a variance component model . It is the statistical model where the parameters are random .It is a kind of hierarchical linear model which assumes that the data bring analyzed are drawn form hierarchy of different population whose different relate to that </w:t>
      </w:r>
      <w:r w:rsidR="00D652A2">
        <w:rPr>
          <w:lang w:val="en-US"/>
        </w:rPr>
        <w:t>hierarchy</w:t>
      </w:r>
      <w:r>
        <w:rPr>
          <w:lang w:val="en-US"/>
        </w:rPr>
        <w:t xml:space="preserve"> .( Makanile and Pastory ( 2022)</w:t>
      </w:r>
    </w:p>
    <w:p w:rsidR="00724FAD" w:rsidRDefault="00724FAD" w:rsidP="00724FAD">
      <w:pPr>
        <w:pStyle w:val="Paragraphedeliste"/>
        <w:rPr>
          <w:lang w:val="en-US"/>
        </w:rPr>
      </w:pPr>
    </w:p>
    <w:p w:rsidR="00724FAD" w:rsidRDefault="00724FAD" w:rsidP="00724FAD">
      <w:pPr>
        <w:pStyle w:val="Paragraphedeliste"/>
        <w:rPr>
          <w:lang w:val="en-US"/>
        </w:rPr>
      </w:pPr>
      <w:r>
        <w:rPr>
          <w:lang w:val="en-US"/>
        </w:rPr>
        <w:t xml:space="preserve">In our model  Pv = 0.035   we choose the model with fixed effects </w:t>
      </w:r>
    </w:p>
    <w:p w:rsidR="00724FAD" w:rsidRDefault="00724FAD" w:rsidP="00724FAD">
      <w:pPr>
        <w:pStyle w:val="NormalWeb"/>
        <w:spacing w:before="0" w:beforeAutospacing="0" w:after="240" w:afterAutospacing="0"/>
        <w:textAlignment w:val="baseline"/>
        <w:rPr>
          <w:color w:val="555555"/>
          <w:lang w:val="en-US"/>
        </w:rPr>
      </w:pPr>
    </w:p>
    <w:p w:rsidR="00724FAD" w:rsidRPr="00FE270D" w:rsidRDefault="00724FAD" w:rsidP="00724FAD">
      <w:pPr>
        <w:pStyle w:val="NormalWeb"/>
        <w:spacing w:before="0" w:beforeAutospacing="0" w:after="240" w:afterAutospacing="0"/>
        <w:textAlignment w:val="baseline"/>
        <w:rPr>
          <w:b/>
          <w:color w:val="555555"/>
          <w:lang w:val="en-US"/>
        </w:rPr>
      </w:pPr>
      <w:r w:rsidRPr="00FE270D">
        <w:rPr>
          <w:b/>
          <w:color w:val="555555"/>
          <w:lang w:val="en-US"/>
        </w:rPr>
        <w:t xml:space="preserve"> G-Estimation and interpretation</w:t>
      </w:r>
      <w:r>
        <w:rPr>
          <w:b/>
          <w:color w:val="555555"/>
          <w:lang w:val="en-US"/>
        </w:rPr>
        <w:t>s</w:t>
      </w:r>
      <w:r w:rsidRPr="00FE270D">
        <w:rPr>
          <w:b/>
          <w:color w:val="555555"/>
          <w:lang w:val="en-US"/>
        </w:rPr>
        <w:t xml:space="preserve">  of model </w:t>
      </w:r>
    </w:p>
    <w:p w:rsidR="00724FAD" w:rsidRPr="00C108C8" w:rsidRDefault="00724FAD" w:rsidP="00724FAD">
      <w:pPr>
        <w:pStyle w:val="NormalWeb"/>
        <w:spacing w:before="0" w:beforeAutospacing="0" w:after="240" w:afterAutospacing="0"/>
        <w:textAlignment w:val="baseline"/>
        <w:rPr>
          <w:color w:val="555555"/>
          <w:lang w:val="en-US"/>
        </w:rPr>
      </w:pPr>
      <w:r>
        <w:rPr>
          <w:color w:val="555555"/>
          <w:lang w:val="en-US"/>
        </w:rPr>
        <w:t xml:space="preserve">        Table 6: Estimations of model      </w:t>
      </w:r>
    </w:p>
    <w:tbl>
      <w:tblPr>
        <w:tblStyle w:val="Grilledutableau"/>
        <w:tblW w:w="0" w:type="auto"/>
        <w:tblLook w:val="04A0"/>
      </w:tblPr>
      <w:tblGrid>
        <w:gridCol w:w="2303"/>
        <w:gridCol w:w="2303"/>
        <w:gridCol w:w="2303"/>
        <w:gridCol w:w="2303"/>
      </w:tblGrid>
      <w:tr w:rsidR="00724FAD" w:rsidRPr="00555839" w:rsidTr="006558A5">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 xml:space="preserve">TLA </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 xml:space="preserve">Coefficient </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t</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p&gt;t</w:t>
            </w:r>
          </w:p>
        </w:tc>
      </w:tr>
      <w:tr w:rsidR="00724FAD" w:rsidRPr="00555839" w:rsidTr="006558A5">
        <w:tc>
          <w:tcPr>
            <w:tcW w:w="2303" w:type="dxa"/>
          </w:tcPr>
          <w:p w:rsidR="00724FAD" w:rsidRPr="0063551C" w:rsidRDefault="00724FAD" w:rsidP="006558A5">
            <w:pPr>
              <w:pStyle w:val="NormalWeb"/>
              <w:spacing w:before="0" w:beforeAutospacing="0" w:after="240" w:afterAutospacing="0"/>
              <w:textAlignment w:val="baseline"/>
              <w:rPr>
                <w:b/>
                <w:color w:val="555555"/>
                <w:lang w:val="en-US"/>
              </w:rPr>
            </w:pPr>
            <w:r w:rsidRPr="0063551C">
              <w:rPr>
                <w:b/>
                <w:color w:val="555555"/>
                <w:lang w:val="en-US"/>
              </w:rPr>
              <w:t>ROA</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-0.065</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-0.08</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0.933</w:t>
            </w:r>
          </w:p>
        </w:tc>
      </w:tr>
      <w:tr w:rsidR="00724FAD" w:rsidRPr="00555839" w:rsidTr="006558A5">
        <w:tc>
          <w:tcPr>
            <w:tcW w:w="2303" w:type="dxa"/>
          </w:tcPr>
          <w:p w:rsidR="00724FAD" w:rsidRPr="0063551C" w:rsidRDefault="00724FAD" w:rsidP="006558A5">
            <w:pPr>
              <w:pStyle w:val="NormalWeb"/>
              <w:spacing w:before="0" w:beforeAutospacing="0" w:after="240" w:afterAutospacing="0"/>
              <w:textAlignment w:val="baseline"/>
              <w:rPr>
                <w:b/>
                <w:color w:val="555555"/>
                <w:lang w:val="en-US"/>
              </w:rPr>
            </w:pPr>
            <w:r w:rsidRPr="0063551C">
              <w:rPr>
                <w:b/>
                <w:color w:val="555555"/>
                <w:lang w:val="en-US"/>
              </w:rPr>
              <w:t xml:space="preserve">ROE </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-0.8454</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-0.64</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0.520</w:t>
            </w:r>
          </w:p>
        </w:tc>
      </w:tr>
      <w:tr w:rsidR="00724FAD" w:rsidRPr="00555839" w:rsidTr="006558A5">
        <w:tc>
          <w:tcPr>
            <w:tcW w:w="2303" w:type="dxa"/>
          </w:tcPr>
          <w:p w:rsidR="00724FAD" w:rsidRPr="0063551C" w:rsidRDefault="00724FAD" w:rsidP="006558A5">
            <w:pPr>
              <w:pStyle w:val="NormalWeb"/>
              <w:spacing w:before="0" w:beforeAutospacing="0" w:after="240" w:afterAutospacing="0"/>
              <w:textAlignment w:val="baseline"/>
              <w:rPr>
                <w:b/>
                <w:color w:val="555555"/>
                <w:lang w:val="en-US"/>
              </w:rPr>
            </w:pPr>
            <w:r w:rsidRPr="0063551C">
              <w:rPr>
                <w:b/>
                <w:color w:val="555555"/>
                <w:lang w:val="en-US"/>
              </w:rPr>
              <w:t>NIM</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0.2476</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0.50</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0.616</w:t>
            </w:r>
          </w:p>
        </w:tc>
      </w:tr>
      <w:tr w:rsidR="00724FAD" w:rsidRPr="00555839" w:rsidTr="006558A5">
        <w:tc>
          <w:tcPr>
            <w:tcW w:w="2303" w:type="dxa"/>
          </w:tcPr>
          <w:p w:rsidR="00724FAD" w:rsidRPr="0063551C" w:rsidRDefault="00724FAD" w:rsidP="006558A5">
            <w:pPr>
              <w:pStyle w:val="NormalWeb"/>
              <w:spacing w:before="0" w:beforeAutospacing="0" w:after="240" w:afterAutospacing="0"/>
              <w:textAlignment w:val="baseline"/>
              <w:rPr>
                <w:b/>
                <w:color w:val="555555"/>
                <w:lang w:val="en-US"/>
              </w:rPr>
            </w:pPr>
            <w:r w:rsidRPr="0063551C">
              <w:rPr>
                <w:b/>
                <w:color w:val="555555"/>
                <w:lang w:val="en-US"/>
              </w:rPr>
              <w:t xml:space="preserve">Size </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0.039</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2.75</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0.007</w:t>
            </w:r>
          </w:p>
        </w:tc>
      </w:tr>
      <w:tr w:rsidR="00724FAD" w:rsidRPr="00555839" w:rsidTr="006558A5">
        <w:tc>
          <w:tcPr>
            <w:tcW w:w="2303" w:type="dxa"/>
          </w:tcPr>
          <w:p w:rsidR="00724FAD" w:rsidRPr="0063551C" w:rsidRDefault="00724FAD" w:rsidP="006558A5">
            <w:pPr>
              <w:pStyle w:val="NormalWeb"/>
              <w:spacing w:before="0" w:beforeAutospacing="0" w:after="240" w:afterAutospacing="0"/>
              <w:textAlignment w:val="baseline"/>
              <w:rPr>
                <w:b/>
                <w:color w:val="555555"/>
                <w:lang w:val="en-US"/>
              </w:rPr>
            </w:pPr>
            <w:r w:rsidRPr="0063551C">
              <w:rPr>
                <w:b/>
                <w:color w:val="555555"/>
                <w:lang w:val="en-US"/>
              </w:rPr>
              <w:t>CAP</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-0.34</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-1.24</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0.217</w:t>
            </w:r>
          </w:p>
        </w:tc>
      </w:tr>
      <w:tr w:rsidR="00724FAD" w:rsidRPr="00555839" w:rsidTr="006558A5">
        <w:tc>
          <w:tcPr>
            <w:tcW w:w="2303" w:type="dxa"/>
          </w:tcPr>
          <w:p w:rsidR="00724FAD" w:rsidRPr="0063551C" w:rsidRDefault="00724FAD" w:rsidP="006558A5">
            <w:pPr>
              <w:pStyle w:val="NormalWeb"/>
              <w:spacing w:before="0" w:beforeAutospacing="0" w:after="240" w:afterAutospacing="0"/>
              <w:textAlignment w:val="baseline"/>
              <w:rPr>
                <w:b/>
                <w:color w:val="555555"/>
                <w:lang w:val="en-US"/>
              </w:rPr>
            </w:pPr>
            <w:r w:rsidRPr="0063551C">
              <w:rPr>
                <w:b/>
                <w:color w:val="555555"/>
                <w:lang w:val="en-US"/>
              </w:rPr>
              <w:t>CEA</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-0.26</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-1.06</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0.293</w:t>
            </w:r>
          </w:p>
        </w:tc>
      </w:tr>
      <w:tr w:rsidR="00724FAD" w:rsidRPr="00555839" w:rsidTr="006558A5">
        <w:tc>
          <w:tcPr>
            <w:tcW w:w="2303" w:type="dxa"/>
          </w:tcPr>
          <w:p w:rsidR="00724FAD" w:rsidRPr="0063551C" w:rsidRDefault="00724FAD" w:rsidP="006558A5">
            <w:pPr>
              <w:pStyle w:val="NormalWeb"/>
              <w:spacing w:before="0" w:beforeAutospacing="0" w:after="240" w:afterAutospacing="0"/>
              <w:textAlignment w:val="baseline"/>
              <w:rPr>
                <w:b/>
                <w:color w:val="555555"/>
                <w:lang w:val="en-US"/>
              </w:rPr>
            </w:pPr>
            <w:r w:rsidRPr="0063551C">
              <w:rPr>
                <w:b/>
                <w:color w:val="555555"/>
                <w:lang w:val="en-US"/>
              </w:rPr>
              <w:t>CFC</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-0.74</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-1.47</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0.144</w:t>
            </w:r>
          </w:p>
        </w:tc>
      </w:tr>
      <w:tr w:rsidR="00724FAD" w:rsidRPr="00555839" w:rsidTr="006558A5">
        <w:tc>
          <w:tcPr>
            <w:tcW w:w="2303" w:type="dxa"/>
          </w:tcPr>
          <w:p w:rsidR="00724FAD" w:rsidRPr="0063551C" w:rsidRDefault="00724FAD" w:rsidP="006558A5">
            <w:pPr>
              <w:pStyle w:val="NormalWeb"/>
              <w:spacing w:before="0" w:beforeAutospacing="0" w:after="240" w:afterAutospacing="0"/>
              <w:textAlignment w:val="baseline"/>
              <w:rPr>
                <w:b/>
                <w:color w:val="555555"/>
                <w:lang w:val="en-US"/>
              </w:rPr>
            </w:pPr>
            <w:r w:rsidRPr="0063551C">
              <w:rPr>
                <w:b/>
                <w:color w:val="555555"/>
                <w:lang w:val="en-US"/>
              </w:rPr>
              <w:t xml:space="preserve">Tdeposit </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0.049</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0.44</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0.658</w:t>
            </w:r>
          </w:p>
        </w:tc>
      </w:tr>
      <w:tr w:rsidR="00724FAD" w:rsidRPr="00555839" w:rsidTr="006558A5">
        <w:tc>
          <w:tcPr>
            <w:tcW w:w="2303" w:type="dxa"/>
          </w:tcPr>
          <w:p w:rsidR="00724FAD" w:rsidRPr="0063551C" w:rsidRDefault="00724FAD" w:rsidP="006558A5">
            <w:pPr>
              <w:pStyle w:val="NormalWeb"/>
              <w:spacing w:before="0" w:beforeAutospacing="0" w:after="240" w:afterAutospacing="0"/>
              <w:textAlignment w:val="baseline"/>
              <w:rPr>
                <w:b/>
                <w:color w:val="555555"/>
                <w:lang w:val="en-US"/>
              </w:rPr>
            </w:pPr>
            <w:r w:rsidRPr="0063551C">
              <w:rPr>
                <w:b/>
                <w:color w:val="555555"/>
                <w:lang w:val="en-US"/>
              </w:rPr>
              <w:t>CD</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0.024</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1.83</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0.069</w:t>
            </w:r>
          </w:p>
        </w:tc>
      </w:tr>
      <w:tr w:rsidR="00724FAD" w:rsidRPr="00555839" w:rsidTr="006558A5">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ALA</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-0.058</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-0.13</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0.897</w:t>
            </w:r>
          </w:p>
        </w:tc>
      </w:tr>
      <w:tr w:rsidR="00724FAD" w:rsidRPr="00555839" w:rsidTr="006558A5">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TPIB</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0.24</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1.18</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0.239</w:t>
            </w:r>
          </w:p>
        </w:tc>
      </w:tr>
      <w:tr w:rsidR="00724FAD" w:rsidRPr="00555839" w:rsidTr="006558A5">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TINF</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1.74</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3.30</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0.001</w:t>
            </w:r>
          </w:p>
        </w:tc>
      </w:tr>
      <w:tr w:rsidR="00724FAD" w:rsidRPr="00555839" w:rsidTr="006558A5">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Constant</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0.062</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0.38</w:t>
            </w:r>
          </w:p>
        </w:tc>
        <w:tc>
          <w:tcPr>
            <w:tcW w:w="2303" w:type="dxa"/>
          </w:tcPr>
          <w:p w:rsidR="00724FAD" w:rsidRPr="00555839" w:rsidRDefault="00724FAD" w:rsidP="006558A5">
            <w:pPr>
              <w:pStyle w:val="NormalWeb"/>
              <w:spacing w:before="0" w:beforeAutospacing="0" w:after="240" w:afterAutospacing="0"/>
              <w:textAlignment w:val="baseline"/>
              <w:rPr>
                <w:b/>
                <w:color w:val="555555"/>
                <w:lang w:val="en-US"/>
              </w:rPr>
            </w:pPr>
            <w:r w:rsidRPr="00555839">
              <w:rPr>
                <w:b/>
                <w:color w:val="555555"/>
                <w:lang w:val="en-US"/>
              </w:rPr>
              <w:t>0.704</w:t>
            </w:r>
          </w:p>
        </w:tc>
      </w:tr>
    </w:tbl>
    <w:p w:rsidR="00724FAD" w:rsidRDefault="00724FAD" w:rsidP="00724FAD">
      <w:pPr>
        <w:pStyle w:val="Paragraphedeliste"/>
        <w:rPr>
          <w:b/>
          <w:sz w:val="28"/>
          <w:szCs w:val="28"/>
          <w:lang w:val="en-US"/>
        </w:rPr>
      </w:pPr>
    </w:p>
    <w:p w:rsidR="00724FAD" w:rsidRDefault="00724FAD" w:rsidP="00724FAD">
      <w:pPr>
        <w:pStyle w:val="NormalWeb"/>
        <w:spacing w:before="0" w:beforeAutospacing="0" w:after="240" w:afterAutospacing="0"/>
        <w:textAlignment w:val="baseline"/>
        <w:rPr>
          <w:b/>
          <w:color w:val="555555"/>
          <w:lang w:val="en-US"/>
        </w:rPr>
      </w:pPr>
      <w:r>
        <w:rPr>
          <w:b/>
          <w:color w:val="555555"/>
          <w:lang w:val="en-US"/>
        </w:rPr>
        <w:lastRenderedPageBreak/>
        <w:t>-There is a negative relationship between ROA and TLA ( if ROA increase by 1% TLA will decrease by 0.065%). The increase of return on assets has a negative impact on bank lending .This result is similar to result found by Dan and al (2021) but contrary to result found by Nguyen and Nguyen ( 2022)</w:t>
      </w:r>
    </w:p>
    <w:p w:rsidR="00724FAD" w:rsidRDefault="00724FAD" w:rsidP="00724FAD">
      <w:pPr>
        <w:pStyle w:val="NormalWeb"/>
        <w:spacing w:before="0" w:beforeAutospacing="0" w:after="240" w:afterAutospacing="0"/>
        <w:textAlignment w:val="baseline"/>
        <w:rPr>
          <w:b/>
          <w:color w:val="555555"/>
          <w:lang w:val="en-US"/>
        </w:rPr>
      </w:pPr>
      <w:r>
        <w:rPr>
          <w:b/>
          <w:color w:val="555555"/>
          <w:lang w:val="en-US"/>
        </w:rPr>
        <w:t xml:space="preserve">-There is a negative relationship between ROE and TLA ( if ROE increase by 1% TLA decrease by 0.84%) . The increase of return on equity has a negative impact on bank lending </w:t>
      </w:r>
    </w:p>
    <w:p w:rsidR="00724FAD" w:rsidRDefault="00724FAD" w:rsidP="00724FAD">
      <w:pPr>
        <w:pStyle w:val="NormalWeb"/>
        <w:spacing w:before="0" w:beforeAutospacing="0" w:after="240" w:afterAutospacing="0"/>
        <w:textAlignment w:val="baseline"/>
        <w:rPr>
          <w:b/>
          <w:color w:val="555555"/>
          <w:lang w:val="en-US"/>
        </w:rPr>
      </w:pPr>
      <w:r>
        <w:rPr>
          <w:b/>
          <w:color w:val="555555"/>
          <w:lang w:val="en-US"/>
        </w:rPr>
        <w:t xml:space="preserve">-There is a positive relationship between NIM and TLA ( if NIM  increase by 1% TLA will increase by 0.2476%) . The increase of net interest margin has a positive impact on bank lending </w:t>
      </w:r>
    </w:p>
    <w:p w:rsidR="00724FAD" w:rsidRDefault="00724FAD" w:rsidP="00724FAD">
      <w:pPr>
        <w:pStyle w:val="NormalWeb"/>
        <w:spacing w:before="0" w:beforeAutospacing="0" w:after="240" w:afterAutospacing="0"/>
        <w:textAlignment w:val="baseline"/>
        <w:rPr>
          <w:b/>
          <w:color w:val="555555"/>
          <w:lang w:val="en-US"/>
        </w:rPr>
      </w:pPr>
      <w:r>
        <w:rPr>
          <w:b/>
          <w:color w:val="555555"/>
          <w:lang w:val="en-US"/>
        </w:rPr>
        <w:t>-There is a positive relationship between Size and TLA ( if Size increase by 1% TLA will increase by 0.039%) . The increase of size has a positive impact on bank lending . This result is similar to result found by ( Dan and al (2021)), Nguyen and Nguyen (2022) but contrary to result found by</w:t>
      </w:r>
    </w:p>
    <w:p w:rsidR="00724FAD" w:rsidRDefault="00724FAD" w:rsidP="00724FAD">
      <w:pPr>
        <w:pStyle w:val="NormalWeb"/>
        <w:spacing w:before="0" w:beforeAutospacing="0" w:after="240" w:afterAutospacing="0"/>
        <w:textAlignment w:val="baseline"/>
        <w:rPr>
          <w:b/>
          <w:color w:val="555555"/>
          <w:lang w:val="en-US"/>
        </w:rPr>
      </w:pPr>
      <w:r>
        <w:rPr>
          <w:b/>
          <w:color w:val="555555"/>
          <w:lang w:val="en-US"/>
        </w:rPr>
        <w:t xml:space="preserve">-There is a negative relationship between CAP and TLA ( if CAP increase by 1% TLA will decrease by 0.34%) .The increase of capital has a negative impact on bank lending </w:t>
      </w:r>
    </w:p>
    <w:p w:rsidR="00724FAD" w:rsidRPr="00555839" w:rsidRDefault="00724FAD" w:rsidP="00724FAD">
      <w:pPr>
        <w:pStyle w:val="NormalWeb"/>
        <w:spacing w:before="0" w:beforeAutospacing="0" w:after="240" w:afterAutospacing="0"/>
        <w:textAlignment w:val="baseline"/>
        <w:rPr>
          <w:b/>
          <w:color w:val="555555"/>
          <w:lang w:val="en-US"/>
        </w:rPr>
      </w:pPr>
      <w:r>
        <w:rPr>
          <w:b/>
          <w:color w:val="555555"/>
          <w:lang w:val="en-US"/>
        </w:rPr>
        <w:t>This result is similar to result found by (Berhe (2019) but contrary to result found by ( Dan and al (2021) , Makanile and Pastory ( 2022) , Kim and Sohn (2017) ; Roulet (2018)</w:t>
      </w:r>
    </w:p>
    <w:p w:rsidR="00724FAD" w:rsidRPr="00A23EF9" w:rsidRDefault="00724FAD" w:rsidP="00724FAD">
      <w:pPr>
        <w:rPr>
          <w:rFonts w:ascii="Times New Roman" w:hAnsi="Times New Roman" w:cs="Times New Roman"/>
          <w:sz w:val="24"/>
          <w:szCs w:val="24"/>
          <w:lang w:val="en-US"/>
        </w:rPr>
      </w:pPr>
      <w:r>
        <w:rPr>
          <w:rFonts w:ascii="Times New Roman" w:hAnsi="Times New Roman" w:cs="Times New Roman"/>
          <w:sz w:val="24"/>
          <w:szCs w:val="24"/>
          <w:lang w:val="en-US"/>
        </w:rPr>
        <w:t xml:space="preserve">-There is a negative relationship between CEA and TLA ( if CEA increase by 1% TLA will decrease by 0.26%) . The increase of operating costs has a negative impact on bank lending </w:t>
      </w:r>
    </w:p>
    <w:p w:rsidR="00724FAD" w:rsidRDefault="00724FAD" w:rsidP="00724FAD">
      <w:pPr>
        <w:pStyle w:val="NormalWeb"/>
        <w:spacing w:before="0" w:beforeAutospacing="0" w:after="240" w:afterAutospacing="0"/>
        <w:textAlignment w:val="baseline"/>
        <w:rPr>
          <w:b/>
          <w:color w:val="555555"/>
          <w:lang w:val="en-US"/>
        </w:rPr>
      </w:pPr>
      <w:r>
        <w:rPr>
          <w:b/>
          <w:color w:val="555555"/>
          <w:lang w:val="en-US"/>
        </w:rPr>
        <w:t xml:space="preserve">-There is a negative relationship between CFC and TLA ( if CFC increase by 1% TLA decrease by 0.74%). The increase of financial expenses to total credit has a negative impact on bank lending </w:t>
      </w:r>
    </w:p>
    <w:p w:rsidR="00724FAD" w:rsidRDefault="00724FAD" w:rsidP="00724FAD">
      <w:pPr>
        <w:pStyle w:val="NormalWeb"/>
        <w:spacing w:before="0" w:beforeAutospacing="0" w:after="240" w:afterAutospacing="0"/>
        <w:textAlignment w:val="baseline"/>
        <w:rPr>
          <w:b/>
          <w:color w:val="555555"/>
          <w:lang w:val="en-US"/>
        </w:rPr>
      </w:pPr>
      <w:r>
        <w:rPr>
          <w:b/>
          <w:color w:val="555555"/>
          <w:lang w:val="en-US"/>
        </w:rPr>
        <w:t>-There is a positive relationship between Tdeposit and TLA ( if Tdeposit increase by 1% TLA will increase by 0.049%) . The increase of deposits has a positive effect on bank lending . This result is similar to result found by Dan and al (2021)but contrary to result found by Berhe (2019). An increase of deposits of a bank is likely to improve its ability to led more funds to its customers.</w:t>
      </w:r>
    </w:p>
    <w:p w:rsidR="00724FAD" w:rsidRDefault="00724FAD" w:rsidP="00724FAD">
      <w:pPr>
        <w:pStyle w:val="NormalWeb"/>
        <w:spacing w:before="0" w:beforeAutospacing="0" w:after="240" w:afterAutospacing="0"/>
        <w:textAlignment w:val="baseline"/>
        <w:rPr>
          <w:b/>
          <w:color w:val="555555"/>
          <w:lang w:val="en-US"/>
        </w:rPr>
      </w:pPr>
      <w:r>
        <w:rPr>
          <w:b/>
          <w:color w:val="555555"/>
          <w:lang w:val="en-US"/>
        </w:rPr>
        <w:t>-There is a positive relationship between CD and TLA ( if CD increase by 1% TLA will increase by 0.024%) . The increase of (credits/ deposits ) has a positive effect on bank lending .</w:t>
      </w:r>
    </w:p>
    <w:p w:rsidR="00724FAD" w:rsidRDefault="00724FAD" w:rsidP="00724FAD">
      <w:pPr>
        <w:pStyle w:val="NormalWeb"/>
        <w:spacing w:before="0" w:beforeAutospacing="0" w:after="240" w:afterAutospacing="0"/>
        <w:textAlignment w:val="baseline"/>
        <w:rPr>
          <w:b/>
          <w:color w:val="555555"/>
          <w:lang w:val="en-US"/>
        </w:rPr>
      </w:pPr>
      <w:r>
        <w:rPr>
          <w:b/>
          <w:color w:val="555555"/>
          <w:lang w:val="en-US"/>
        </w:rPr>
        <w:t>-There is a negative relationship between ALA and TLA ( if ALA increase by 1% TLA will decrease by 0.058%) . The increase of asset liquid has a negative relationship with bank lending . This result is similar to result found by () but contrary to result found by ( Dan and al ( 2021)).</w:t>
      </w:r>
    </w:p>
    <w:p w:rsidR="00724FAD" w:rsidRDefault="00724FAD" w:rsidP="00724FAD">
      <w:pPr>
        <w:pStyle w:val="NormalWeb"/>
        <w:spacing w:before="0" w:beforeAutospacing="0" w:after="240" w:afterAutospacing="0"/>
        <w:textAlignment w:val="baseline"/>
        <w:rPr>
          <w:b/>
          <w:color w:val="555555"/>
          <w:lang w:val="en-US"/>
        </w:rPr>
      </w:pPr>
      <w:r>
        <w:rPr>
          <w:b/>
          <w:color w:val="555555"/>
          <w:lang w:val="en-US"/>
        </w:rPr>
        <w:t>-There is a positive relationship between TPIB and TLA ( if TPIB increase by 1% TLA will increase by 0.24%) . The increase of economic growth has a positive impact on bank lending . This result is similar to result found by Nguyen and Nguyen (2022) ,Jessica and al (2019)</w:t>
      </w:r>
    </w:p>
    <w:p w:rsidR="00724FAD" w:rsidRDefault="00724FAD" w:rsidP="00724FAD">
      <w:pPr>
        <w:pStyle w:val="NormalWeb"/>
        <w:spacing w:before="0" w:beforeAutospacing="0" w:after="240" w:afterAutospacing="0"/>
        <w:textAlignment w:val="baseline"/>
        <w:rPr>
          <w:b/>
          <w:color w:val="555555"/>
          <w:lang w:val="en-US"/>
        </w:rPr>
      </w:pPr>
      <w:r>
        <w:rPr>
          <w:b/>
          <w:color w:val="555555"/>
          <w:lang w:val="en-US"/>
        </w:rPr>
        <w:lastRenderedPageBreak/>
        <w:t>-There is a positive relationship between TINF and TLA ( if TINF increase by 1% TLA will increase by 1.74%) . The increase of inflation has a positive impact on bank lending</w:t>
      </w:r>
    </w:p>
    <w:p w:rsidR="00724FAD" w:rsidRDefault="00724FAD" w:rsidP="00724FAD">
      <w:pPr>
        <w:rPr>
          <w:lang w:val="en-US"/>
        </w:rPr>
      </w:pPr>
      <w:r>
        <w:rPr>
          <w:b/>
          <w:color w:val="555555"/>
          <w:lang w:val="en-US"/>
        </w:rPr>
        <w:t>This result is similar to result found by Nguyen and Nguyen (2022)</w:t>
      </w:r>
    </w:p>
    <w:p w:rsidR="0024544D" w:rsidRDefault="0024544D" w:rsidP="00724FAD">
      <w:pPr>
        <w:rPr>
          <w:b/>
          <w:sz w:val="28"/>
          <w:szCs w:val="28"/>
          <w:lang w:val="en-US"/>
        </w:rPr>
      </w:pPr>
    </w:p>
    <w:p w:rsidR="00724FAD" w:rsidRPr="00AE765F" w:rsidRDefault="00AE765F" w:rsidP="00724FAD">
      <w:pPr>
        <w:rPr>
          <w:b/>
          <w:sz w:val="28"/>
          <w:szCs w:val="28"/>
          <w:lang w:val="en-US"/>
        </w:rPr>
      </w:pPr>
      <w:r w:rsidRPr="00AE765F">
        <w:rPr>
          <w:b/>
          <w:sz w:val="28"/>
          <w:szCs w:val="28"/>
          <w:lang w:val="en-US"/>
        </w:rPr>
        <w:t xml:space="preserve">Conclusion </w:t>
      </w:r>
    </w:p>
    <w:p w:rsidR="00AE765F" w:rsidRDefault="00AE765F" w:rsidP="00143D07">
      <w:pPr>
        <w:jc w:val="both"/>
        <w:rPr>
          <w:lang w:val="en-US"/>
        </w:rPr>
      </w:pPr>
      <w:r>
        <w:rPr>
          <w:lang w:val="en-US"/>
        </w:rPr>
        <w:t xml:space="preserve">    Economic growth is important to increase the creation of money and value for any country. Also bank lending is necessary to stimulate the investments and finance the people who need capital. It is necessary to understand the relationship between economic growth and bank lending .</w:t>
      </w:r>
    </w:p>
    <w:p w:rsidR="00AE765F" w:rsidRDefault="00AE765F" w:rsidP="00143D07">
      <w:pPr>
        <w:jc w:val="both"/>
        <w:rPr>
          <w:lang w:val="en-US"/>
        </w:rPr>
      </w:pPr>
      <w:r>
        <w:rPr>
          <w:lang w:val="en-US"/>
        </w:rPr>
        <w:t>In this article we used a sample of 11 banks quoted in Tunisian stock exchange for the period ( 2005…2020) . We employ a method of panel static . We found that economic growth has a positive impact on bank lending . This is mean that when economic growth increase ; bank lending will increase also . This demonstrate the role of bank lending in fostering of Tunisian economic .</w:t>
      </w:r>
    </w:p>
    <w:p w:rsidR="00AE765F" w:rsidRDefault="00AE765F" w:rsidP="00894739">
      <w:pPr>
        <w:rPr>
          <w:b/>
          <w:sz w:val="28"/>
          <w:szCs w:val="28"/>
          <w:lang w:val="en-US"/>
        </w:rPr>
      </w:pPr>
      <w:r w:rsidRPr="00F83E0B">
        <w:rPr>
          <w:b/>
          <w:sz w:val="28"/>
          <w:szCs w:val="28"/>
          <w:lang w:val="en-US"/>
        </w:rPr>
        <w:t xml:space="preserve">References </w:t>
      </w:r>
    </w:p>
    <w:p w:rsidR="00F56516" w:rsidRPr="000D0856" w:rsidRDefault="00F56516" w:rsidP="00894739">
      <w:pPr>
        <w:rPr>
          <w:b/>
          <w:sz w:val="24"/>
          <w:szCs w:val="24"/>
          <w:lang w:val="en-US"/>
        </w:rPr>
      </w:pPr>
      <w:r>
        <w:rPr>
          <w:b/>
          <w:sz w:val="28"/>
          <w:szCs w:val="28"/>
          <w:lang w:val="en-US"/>
        </w:rPr>
        <w:t>-</w:t>
      </w:r>
      <w:r w:rsidRPr="000D0856">
        <w:rPr>
          <w:b/>
          <w:sz w:val="24"/>
          <w:szCs w:val="24"/>
          <w:lang w:val="en-US"/>
        </w:rPr>
        <w:t>Abdi H ( 2017) “ Effects of sector allocation of commercial bank credits on Ethiopian Economic growth : An empirical analysis “ Project work ; p1-70</w:t>
      </w:r>
    </w:p>
    <w:p w:rsidR="00AE765F" w:rsidRDefault="00AE765F" w:rsidP="00894739">
      <w:pPr>
        <w:rPr>
          <w:sz w:val="24"/>
          <w:szCs w:val="24"/>
          <w:u w:val="single"/>
          <w:lang w:val="en-US"/>
        </w:rPr>
      </w:pPr>
      <w:r w:rsidRPr="00F83E0B">
        <w:rPr>
          <w:b/>
          <w:sz w:val="24"/>
          <w:szCs w:val="24"/>
          <w:lang w:val="en-US"/>
        </w:rPr>
        <w:t>-Adusei ( 2013)</w:t>
      </w:r>
      <w:r>
        <w:rPr>
          <w:sz w:val="24"/>
          <w:szCs w:val="24"/>
          <w:lang w:val="en-US"/>
        </w:rPr>
        <w:t xml:space="preserve"> “ Finance –growth nexus in Africa : a panel generalized method of moment GMM analysis “ </w:t>
      </w:r>
      <w:r w:rsidRPr="00F83E0B">
        <w:rPr>
          <w:sz w:val="24"/>
          <w:szCs w:val="24"/>
          <w:u w:val="single"/>
          <w:lang w:val="en-US"/>
        </w:rPr>
        <w:t>Asian Economic and financial Review ; vol 3 ; n°10 ; p1314-1324</w:t>
      </w:r>
    </w:p>
    <w:p w:rsidR="00AA03BB" w:rsidRPr="000D0856" w:rsidRDefault="00AA03BB" w:rsidP="00894739">
      <w:pPr>
        <w:rPr>
          <w:sz w:val="24"/>
          <w:szCs w:val="24"/>
          <w:u w:val="single"/>
          <w:lang w:val="en-US"/>
        </w:rPr>
      </w:pPr>
      <w:r w:rsidRPr="00AA03BB">
        <w:rPr>
          <w:b/>
          <w:sz w:val="24"/>
          <w:szCs w:val="24"/>
          <w:u w:val="single"/>
          <w:lang w:val="en-US"/>
        </w:rPr>
        <w:t>-</w:t>
      </w:r>
      <w:r w:rsidRPr="00AA03BB">
        <w:rPr>
          <w:b/>
          <w:sz w:val="24"/>
          <w:szCs w:val="24"/>
          <w:lang w:val="en-US"/>
        </w:rPr>
        <w:t>Adziz .A .A ; LE Sheong ; JA Bakar ( 2018)</w:t>
      </w:r>
      <w:r w:rsidRPr="00AA03BB">
        <w:rPr>
          <w:sz w:val="24"/>
          <w:szCs w:val="24"/>
          <w:lang w:val="en-US"/>
        </w:rPr>
        <w:t xml:space="preserve"> “ Bank lending determinants : evidence from Malysia commercial banks “ </w:t>
      </w:r>
      <w:r w:rsidRPr="000D0856">
        <w:rPr>
          <w:sz w:val="24"/>
          <w:szCs w:val="24"/>
          <w:u w:val="single"/>
          <w:lang w:val="en-US"/>
        </w:rPr>
        <w:t>Journal of Banking and finance management ; vol 1 ; issue 3 ; p36-48</w:t>
      </w:r>
    </w:p>
    <w:p w:rsidR="00F56516" w:rsidRPr="00F56516" w:rsidRDefault="00F56516" w:rsidP="00894739">
      <w:pPr>
        <w:rPr>
          <w:sz w:val="24"/>
          <w:szCs w:val="24"/>
          <w:lang w:val="en-US"/>
        </w:rPr>
      </w:pPr>
      <w:r w:rsidRPr="00F56516">
        <w:rPr>
          <w:sz w:val="24"/>
          <w:szCs w:val="24"/>
          <w:lang w:val="en-US"/>
        </w:rPr>
        <w:t>-</w:t>
      </w:r>
      <w:r w:rsidRPr="000D0856">
        <w:rPr>
          <w:b/>
          <w:sz w:val="24"/>
          <w:szCs w:val="24"/>
          <w:lang w:val="en-US"/>
        </w:rPr>
        <w:t>Bonguini P ; MI Drozdwska ; P Srwaga ; B Witoswka (2017) “</w:t>
      </w:r>
      <w:r>
        <w:rPr>
          <w:sz w:val="24"/>
          <w:szCs w:val="24"/>
          <w:lang w:val="en-US"/>
        </w:rPr>
        <w:t>Financial development and economic growth : the role of foreign owned banks in CESEE countries “ Sustainability ; vol 9 , n°3</w:t>
      </w:r>
    </w:p>
    <w:p w:rsidR="007B3DA6" w:rsidRDefault="007B3DA6" w:rsidP="00894739">
      <w:pPr>
        <w:rPr>
          <w:sz w:val="24"/>
          <w:szCs w:val="24"/>
          <w:lang w:val="en-US"/>
        </w:rPr>
      </w:pPr>
      <w:r w:rsidRPr="007B3DA6">
        <w:rPr>
          <w:sz w:val="24"/>
          <w:szCs w:val="24"/>
          <w:lang w:val="en-US"/>
        </w:rPr>
        <w:t>-</w:t>
      </w:r>
      <w:r w:rsidRPr="007B3DA6">
        <w:rPr>
          <w:b/>
          <w:sz w:val="24"/>
          <w:szCs w:val="24"/>
          <w:lang w:val="en-US"/>
        </w:rPr>
        <w:t>Demirguck Kunt A ; Levine R ( 2008)</w:t>
      </w:r>
      <w:r w:rsidRPr="007B3DA6">
        <w:rPr>
          <w:sz w:val="24"/>
          <w:szCs w:val="24"/>
          <w:lang w:val="en-US"/>
        </w:rPr>
        <w:t xml:space="preserve"> “ Finance and Economic opportunity “ Policy research working paper </w:t>
      </w:r>
    </w:p>
    <w:p w:rsidR="00AA03BB" w:rsidRPr="00AA03BB" w:rsidRDefault="00AA03BB" w:rsidP="00894739">
      <w:pPr>
        <w:rPr>
          <w:lang w:val="en-US"/>
        </w:rPr>
      </w:pPr>
      <w:r w:rsidRPr="00AA03BB">
        <w:rPr>
          <w:b/>
          <w:sz w:val="24"/>
          <w:szCs w:val="24"/>
          <w:lang w:val="en-US"/>
        </w:rPr>
        <w:t xml:space="preserve">-Giovanni J .D ; J .C .Shambaugh ( 2007) </w:t>
      </w:r>
      <w:r>
        <w:rPr>
          <w:sz w:val="24"/>
          <w:szCs w:val="24"/>
          <w:lang w:val="en-US"/>
        </w:rPr>
        <w:t xml:space="preserve">“ The impact of foreign interest rates on the economy : the role of the exchange rate regime “ working paper </w:t>
      </w:r>
    </w:p>
    <w:p w:rsidR="00AE765F" w:rsidRDefault="00AE765F" w:rsidP="00894739">
      <w:pPr>
        <w:rPr>
          <w:sz w:val="24"/>
          <w:szCs w:val="24"/>
          <w:u w:val="single"/>
          <w:lang w:val="en-US"/>
        </w:rPr>
      </w:pPr>
      <w:r w:rsidRPr="00F83E0B">
        <w:rPr>
          <w:b/>
          <w:sz w:val="24"/>
          <w:szCs w:val="24"/>
          <w:lang w:val="en-US"/>
        </w:rPr>
        <w:t>-I.Eddein ; N.Ananzeh ( 2016)</w:t>
      </w:r>
      <w:r>
        <w:rPr>
          <w:sz w:val="24"/>
          <w:szCs w:val="24"/>
          <w:lang w:val="en-US"/>
        </w:rPr>
        <w:t xml:space="preserve"> “ Relationship between bank credit and economic growth “ </w:t>
      </w:r>
      <w:r w:rsidR="00F83E0B" w:rsidRPr="00F83E0B">
        <w:rPr>
          <w:sz w:val="24"/>
          <w:szCs w:val="24"/>
          <w:u w:val="single"/>
          <w:lang w:val="en-US"/>
        </w:rPr>
        <w:t>International</w:t>
      </w:r>
      <w:r w:rsidRPr="00F83E0B">
        <w:rPr>
          <w:sz w:val="24"/>
          <w:szCs w:val="24"/>
          <w:u w:val="single"/>
          <w:lang w:val="en-US"/>
        </w:rPr>
        <w:t xml:space="preserve"> Journal of financial research ; vol 7 ; n°2; p 53-63</w:t>
      </w:r>
    </w:p>
    <w:p w:rsidR="00F83E0B" w:rsidRDefault="00F83E0B" w:rsidP="00894739">
      <w:pPr>
        <w:rPr>
          <w:sz w:val="24"/>
          <w:szCs w:val="24"/>
          <w:u w:val="single"/>
          <w:lang w:val="en-US"/>
        </w:rPr>
      </w:pPr>
      <w:r w:rsidRPr="00F83E0B">
        <w:rPr>
          <w:b/>
          <w:sz w:val="24"/>
          <w:szCs w:val="24"/>
          <w:u w:val="single"/>
          <w:lang w:val="en-US"/>
        </w:rPr>
        <w:t>-</w:t>
      </w:r>
      <w:r w:rsidRPr="00F83E0B">
        <w:rPr>
          <w:b/>
          <w:sz w:val="24"/>
          <w:szCs w:val="24"/>
          <w:lang w:val="en-US"/>
        </w:rPr>
        <w:t>Kim .D ; W.Sohn ( 2017) “</w:t>
      </w:r>
      <w:r w:rsidRPr="00F83E0B">
        <w:rPr>
          <w:sz w:val="24"/>
          <w:szCs w:val="24"/>
          <w:lang w:val="en-US"/>
        </w:rPr>
        <w:t xml:space="preserve"> The effect of bank capital on lending : does liquidity matter “ </w:t>
      </w:r>
      <w:r w:rsidRPr="00F83E0B">
        <w:rPr>
          <w:sz w:val="24"/>
          <w:szCs w:val="24"/>
          <w:u w:val="single"/>
          <w:lang w:val="en-US"/>
        </w:rPr>
        <w:t>Journal of Banking and Finance ; vol 77 ; issue C; p 95-107</w:t>
      </w:r>
    </w:p>
    <w:p w:rsidR="000D0856" w:rsidRDefault="000D0856" w:rsidP="00894739">
      <w:pPr>
        <w:rPr>
          <w:sz w:val="24"/>
          <w:szCs w:val="24"/>
          <w:u w:val="single"/>
          <w:lang w:val="en-US"/>
        </w:rPr>
      </w:pPr>
    </w:p>
    <w:p w:rsidR="000D0856" w:rsidRPr="000D0856" w:rsidRDefault="000D0856" w:rsidP="00894739">
      <w:pPr>
        <w:rPr>
          <w:sz w:val="24"/>
          <w:szCs w:val="24"/>
          <w:lang w:val="en-US"/>
        </w:rPr>
      </w:pPr>
      <w:r w:rsidRPr="000D0856">
        <w:rPr>
          <w:sz w:val="24"/>
          <w:szCs w:val="24"/>
          <w:lang w:val="en-US"/>
        </w:rPr>
        <w:lastRenderedPageBreak/>
        <w:t>-</w:t>
      </w:r>
      <w:r w:rsidRPr="000D0856">
        <w:rPr>
          <w:b/>
          <w:sz w:val="24"/>
          <w:szCs w:val="24"/>
          <w:lang w:val="en-US"/>
        </w:rPr>
        <w:t>Korobov Y ; S Bogoulov ; L Ilyina ; M Plotnikova ( 2021) “</w:t>
      </w:r>
      <w:r w:rsidRPr="000D0856">
        <w:rPr>
          <w:sz w:val="24"/>
          <w:szCs w:val="24"/>
          <w:lang w:val="en-US"/>
        </w:rPr>
        <w:t xml:space="preserve"> On the relationship between bank lending indicators and general economic indicators “ SHS web of conferences ; 91 , 1</w:t>
      </w:r>
    </w:p>
    <w:p w:rsidR="00F56516" w:rsidRPr="00F83E0B" w:rsidRDefault="00F56516" w:rsidP="00894739">
      <w:pPr>
        <w:rPr>
          <w:sz w:val="24"/>
          <w:szCs w:val="24"/>
          <w:u w:val="single"/>
          <w:lang w:val="en-US"/>
        </w:rPr>
      </w:pPr>
      <w:r>
        <w:rPr>
          <w:sz w:val="24"/>
          <w:szCs w:val="24"/>
          <w:u w:val="single"/>
          <w:lang w:val="en-US"/>
        </w:rPr>
        <w:t xml:space="preserve">-Laidroo .L ( 2012) “ Lending growth and cyclicality in Central and Eastern European banks “ </w:t>
      </w:r>
    </w:p>
    <w:p w:rsidR="00AE765F" w:rsidRPr="00F83E0B" w:rsidRDefault="00AE765F" w:rsidP="00894739">
      <w:pPr>
        <w:rPr>
          <w:sz w:val="24"/>
          <w:szCs w:val="24"/>
          <w:u w:val="single"/>
          <w:lang w:val="en-US"/>
        </w:rPr>
      </w:pPr>
      <w:r w:rsidRPr="00F83E0B">
        <w:rPr>
          <w:b/>
          <w:sz w:val="24"/>
          <w:szCs w:val="24"/>
          <w:lang w:val="en-US"/>
        </w:rPr>
        <w:t>-Leitano.N.C ( 2010)</w:t>
      </w:r>
      <w:r w:rsidRPr="00AE765F">
        <w:rPr>
          <w:sz w:val="24"/>
          <w:szCs w:val="24"/>
          <w:lang w:val="en-US"/>
        </w:rPr>
        <w:t xml:space="preserve"> “ Financial developmen</w:t>
      </w:r>
      <w:r>
        <w:rPr>
          <w:sz w:val="24"/>
          <w:szCs w:val="24"/>
          <w:lang w:val="en-US"/>
        </w:rPr>
        <w:t xml:space="preserve">t and economic growth : a panel data approach “ </w:t>
      </w:r>
      <w:r w:rsidR="00F83E0B" w:rsidRPr="00F83E0B">
        <w:rPr>
          <w:sz w:val="24"/>
          <w:szCs w:val="24"/>
          <w:u w:val="single"/>
          <w:lang w:val="en-US"/>
        </w:rPr>
        <w:t>Theoretical</w:t>
      </w:r>
      <w:r w:rsidRPr="00F83E0B">
        <w:rPr>
          <w:sz w:val="24"/>
          <w:szCs w:val="24"/>
          <w:u w:val="single"/>
          <w:lang w:val="en-US"/>
        </w:rPr>
        <w:t xml:space="preserve"> and applied Economics ; vol 10; n°55; p 15-24</w:t>
      </w:r>
    </w:p>
    <w:p w:rsidR="00AE765F" w:rsidRDefault="00AE765F" w:rsidP="00894739">
      <w:pPr>
        <w:rPr>
          <w:sz w:val="24"/>
          <w:szCs w:val="24"/>
          <w:u w:val="single"/>
          <w:lang w:val="en-US"/>
        </w:rPr>
      </w:pPr>
      <w:r w:rsidRPr="00F83E0B">
        <w:rPr>
          <w:b/>
          <w:sz w:val="24"/>
          <w:szCs w:val="24"/>
          <w:lang w:val="en-US"/>
        </w:rPr>
        <w:t xml:space="preserve">-Leitao.N ( 2012) “ </w:t>
      </w:r>
      <w:r>
        <w:rPr>
          <w:sz w:val="24"/>
          <w:szCs w:val="24"/>
          <w:lang w:val="en-US"/>
        </w:rPr>
        <w:t xml:space="preserve">Bank credit and Economic growth :A dynamic panel data </w:t>
      </w:r>
      <w:r w:rsidR="00F83E0B">
        <w:rPr>
          <w:sz w:val="24"/>
          <w:szCs w:val="24"/>
          <w:lang w:val="en-US"/>
        </w:rPr>
        <w:t xml:space="preserve">analysis “ </w:t>
      </w:r>
      <w:r w:rsidR="00F83E0B" w:rsidRPr="00F83E0B">
        <w:rPr>
          <w:sz w:val="24"/>
          <w:szCs w:val="24"/>
          <w:u w:val="single"/>
          <w:lang w:val="en-US"/>
        </w:rPr>
        <w:t>Economic Research Cana</w:t>
      </w:r>
      <w:r w:rsidRPr="00F83E0B">
        <w:rPr>
          <w:sz w:val="24"/>
          <w:szCs w:val="24"/>
          <w:u w:val="single"/>
          <w:lang w:val="en-US"/>
        </w:rPr>
        <w:t>dian ; vol 2 ; issue 2; p256-267</w:t>
      </w:r>
    </w:p>
    <w:p w:rsidR="007B3DA6" w:rsidRPr="000D0856" w:rsidRDefault="007B3DA6" w:rsidP="00894739">
      <w:pPr>
        <w:rPr>
          <w:sz w:val="24"/>
          <w:szCs w:val="24"/>
          <w:u w:val="single"/>
          <w:lang w:val="en-US"/>
        </w:rPr>
      </w:pPr>
      <w:r w:rsidRPr="000D0856">
        <w:rPr>
          <w:sz w:val="24"/>
          <w:szCs w:val="24"/>
          <w:lang w:val="en-US"/>
        </w:rPr>
        <w:t>-</w:t>
      </w:r>
      <w:r w:rsidRPr="000D0856">
        <w:rPr>
          <w:b/>
          <w:sz w:val="24"/>
          <w:szCs w:val="24"/>
          <w:lang w:val="en-US"/>
        </w:rPr>
        <w:t>Levine R ( 1997)</w:t>
      </w:r>
      <w:r w:rsidRPr="000D0856">
        <w:rPr>
          <w:sz w:val="24"/>
          <w:szCs w:val="24"/>
          <w:lang w:val="en-US"/>
        </w:rPr>
        <w:t xml:space="preserve"> “ Financial development and economic growth : views and agenda” </w:t>
      </w:r>
      <w:r w:rsidRPr="000D0856">
        <w:rPr>
          <w:sz w:val="24"/>
          <w:szCs w:val="24"/>
          <w:u w:val="single"/>
          <w:lang w:val="en-US"/>
        </w:rPr>
        <w:t>Journal of Economic literature , june ; p688-726</w:t>
      </w:r>
    </w:p>
    <w:p w:rsidR="007B3DA6" w:rsidRPr="000D0856" w:rsidRDefault="007B3DA6" w:rsidP="00894739">
      <w:pPr>
        <w:rPr>
          <w:sz w:val="24"/>
          <w:szCs w:val="24"/>
          <w:lang w:val="en-US"/>
        </w:rPr>
      </w:pPr>
      <w:r w:rsidRPr="000D0856">
        <w:rPr>
          <w:sz w:val="24"/>
          <w:szCs w:val="24"/>
          <w:lang w:val="en-US"/>
        </w:rPr>
        <w:t>-</w:t>
      </w:r>
      <w:r w:rsidRPr="000D0856">
        <w:rPr>
          <w:b/>
          <w:sz w:val="24"/>
          <w:szCs w:val="24"/>
          <w:lang w:val="en-US"/>
        </w:rPr>
        <w:t>Levine R ( 2005)</w:t>
      </w:r>
      <w:r w:rsidRPr="000D0856">
        <w:rPr>
          <w:sz w:val="24"/>
          <w:szCs w:val="24"/>
          <w:lang w:val="en-US"/>
        </w:rPr>
        <w:t xml:space="preserve"> “ Finance and Growth : Theory and evidence “ Handbook of Economic growth ; vol 1 , Part A ; p 865-934</w:t>
      </w:r>
    </w:p>
    <w:p w:rsidR="00F83E0B" w:rsidRDefault="00F83E0B" w:rsidP="00894739">
      <w:pPr>
        <w:rPr>
          <w:sz w:val="24"/>
          <w:szCs w:val="24"/>
          <w:u w:val="single"/>
          <w:lang w:val="en-US"/>
        </w:rPr>
      </w:pPr>
      <w:r w:rsidRPr="00F83E0B">
        <w:rPr>
          <w:b/>
          <w:sz w:val="24"/>
          <w:szCs w:val="24"/>
          <w:lang w:val="en-US"/>
        </w:rPr>
        <w:t>-Makanile .D ; P.Diekson ( 2022) “</w:t>
      </w:r>
      <w:r>
        <w:rPr>
          <w:sz w:val="24"/>
          <w:szCs w:val="24"/>
          <w:lang w:val="en-US"/>
        </w:rPr>
        <w:t xml:space="preserve"> Determinants of lending behavior of commercial banks in Tanzania “ </w:t>
      </w:r>
      <w:r w:rsidRPr="00F83E0B">
        <w:rPr>
          <w:sz w:val="24"/>
          <w:szCs w:val="24"/>
          <w:u w:val="single"/>
          <w:lang w:val="en-US"/>
        </w:rPr>
        <w:t>International Journal of Research in Business and Social Sciences ; vol 11 ; issue 2 ; p260-269</w:t>
      </w:r>
    </w:p>
    <w:p w:rsidR="000D0856" w:rsidRPr="000D0856" w:rsidRDefault="000D0856" w:rsidP="00894739">
      <w:pPr>
        <w:rPr>
          <w:sz w:val="24"/>
          <w:szCs w:val="24"/>
          <w:lang w:val="en-US"/>
        </w:rPr>
      </w:pPr>
      <w:r w:rsidRPr="000D0856">
        <w:rPr>
          <w:b/>
          <w:sz w:val="24"/>
          <w:szCs w:val="24"/>
          <w:lang w:val="en-US"/>
        </w:rPr>
        <w:t>-Ngueyn TC ; Nguyen TL ; Ho TTC ( 2022)</w:t>
      </w:r>
      <w:r w:rsidRPr="000D0856">
        <w:rPr>
          <w:sz w:val="24"/>
          <w:szCs w:val="24"/>
          <w:lang w:val="en-US"/>
        </w:rPr>
        <w:t xml:space="preserve"> “ Credit marke regulation and bank loan’s pricing” </w:t>
      </w:r>
    </w:p>
    <w:p w:rsidR="00F83E0B" w:rsidRDefault="00F83E0B" w:rsidP="00894739">
      <w:pPr>
        <w:rPr>
          <w:sz w:val="24"/>
          <w:szCs w:val="24"/>
          <w:u w:val="single"/>
          <w:lang w:val="en-US"/>
        </w:rPr>
      </w:pPr>
      <w:r>
        <w:rPr>
          <w:sz w:val="24"/>
          <w:szCs w:val="24"/>
          <w:lang w:val="en-US"/>
        </w:rPr>
        <w:t>-</w:t>
      </w:r>
      <w:r w:rsidRPr="00F83E0B">
        <w:rPr>
          <w:b/>
          <w:sz w:val="24"/>
          <w:szCs w:val="24"/>
          <w:lang w:val="en-US"/>
        </w:rPr>
        <w:t>Rokhim .R ; Y. Rusli ( 2012)</w:t>
      </w:r>
      <w:r>
        <w:rPr>
          <w:sz w:val="24"/>
          <w:szCs w:val="24"/>
          <w:lang w:val="en-US"/>
        </w:rPr>
        <w:t xml:space="preserve"> “ Macroeconomic factor sand bank lending behavior in </w:t>
      </w:r>
      <w:r w:rsidR="00937AFC">
        <w:rPr>
          <w:sz w:val="24"/>
          <w:szCs w:val="24"/>
          <w:lang w:val="en-US"/>
        </w:rPr>
        <w:t>Indonesia</w:t>
      </w:r>
      <w:r>
        <w:rPr>
          <w:sz w:val="24"/>
          <w:szCs w:val="24"/>
          <w:lang w:val="en-US"/>
        </w:rPr>
        <w:t xml:space="preserve"> “ </w:t>
      </w:r>
      <w:r w:rsidRPr="00F83E0B">
        <w:rPr>
          <w:sz w:val="24"/>
          <w:szCs w:val="24"/>
          <w:u w:val="single"/>
          <w:lang w:val="en-US"/>
        </w:rPr>
        <w:t xml:space="preserve">Economic Journal of Emerging </w:t>
      </w:r>
      <w:r w:rsidR="00143D07">
        <w:rPr>
          <w:sz w:val="24"/>
          <w:szCs w:val="24"/>
          <w:u w:val="single"/>
          <w:lang w:val="en-US"/>
        </w:rPr>
        <w:t xml:space="preserve"> markets </w:t>
      </w:r>
      <w:r w:rsidRPr="00F83E0B">
        <w:rPr>
          <w:sz w:val="24"/>
          <w:szCs w:val="24"/>
          <w:u w:val="single"/>
          <w:lang w:val="en-US"/>
        </w:rPr>
        <w:t xml:space="preserve"> ; vol 4; n°2, p 153-162</w:t>
      </w:r>
    </w:p>
    <w:p w:rsidR="00143D07" w:rsidRDefault="00143D07" w:rsidP="00894739">
      <w:pPr>
        <w:rPr>
          <w:sz w:val="24"/>
          <w:szCs w:val="24"/>
          <w:u w:val="single"/>
          <w:lang w:val="en-US"/>
        </w:rPr>
      </w:pPr>
      <w:r w:rsidRPr="00143D07">
        <w:rPr>
          <w:b/>
          <w:sz w:val="24"/>
          <w:szCs w:val="24"/>
          <w:lang w:val="en-US"/>
        </w:rPr>
        <w:t>-Roulet .C (2018) “</w:t>
      </w:r>
      <w:r w:rsidRPr="00143D07">
        <w:rPr>
          <w:sz w:val="24"/>
          <w:szCs w:val="24"/>
          <w:lang w:val="en-US"/>
        </w:rPr>
        <w:t xml:space="preserve"> Basel III  : effect of capital and liquidity regulation on European bank lending “ </w:t>
      </w:r>
      <w:r w:rsidRPr="00143D07">
        <w:rPr>
          <w:sz w:val="24"/>
          <w:szCs w:val="24"/>
          <w:u w:val="single"/>
          <w:lang w:val="en-US"/>
        </w:rPr>
        <w:t>Journal of Economics and Business ; vol95, issue 6; p21-46</w:t>
      </w:r>
    </w:p>
    <w:p w:rsidR="00AA03BB" w:rsidRPr="000D0856" w:rsidRDefault="00AA03BB" w:rsidP="00894739">
      <w:pPr>
        <w:rPr>
          <w:sz w:val="24"/>
          <w:szCs w:val="24"/>
          <w:lang w:val="en-US"/>
        </w:rPr>
      </w:pPr>
    </w:p>
    <w:p w:rsidR="00AA03BB" w:rsidRPr="000D0856" w:rsidRDefault="00AA03BB" w:rsidP="00894739">
      <w:pPr>
        <w:rPr>
          <w:sz w:val="24"/>
          <w:szCs w:val="24"/>
          <w:lang w:val="en-US"/>
        </w:rPr>
      </w:pPr>
      <w:r w:rsidRPr="000D0856">
        <w:rPr>
          <w:b/>
          <w:sz w:val="24"/>
          <w:szCs w:val="24"/>
          <w:lang w:val="en-US"/>
        </w:rPr>
        <w:t xml:space="preserve">-Sahay R ; M.Cihak ; PN Diaye ; A Barjas , S Mitra ; A kyobe ; Y N Mooi ; SR Yousfi ( 2015) “ </w:t>
      </w:r>
      <w:r w:rsidRPr="000D0856">
        <w:rPr>
          <w:sz w:val="24"/>
          <w:szCs w:val="24"/>
          <w:lang w:val="en-US"/>
        </w:rPr>
        <w:t xml:space="preserve">Financial inclusion : can Imeet multiple macroeconomic goals ? imf .org </w:t>
      </w:r>
    </w:p>
    <w:p w:rsidR="00AE765F" w:rsidRDefault="00AE765F" w:rsidP="00894739">
      <w:pPr>
        <w:rPr>
          <w:sz w:val="24"/>
          <w:szCs w:val="24"/>
          <w:u w:val="single"/>
          <w:lang w:val="en-US"/>
        </w:rPr>
      </w:pPr>
      <w:r w:rsidRPr="000D0856">
        <w:rPr>
          <w:b/>
          <w:sz w:val="24"/>
          <w:szCs w:val="24"/>
          <w:lang w:val="en-US"/>
        </w:rPr>
        <w:t>-Saci .K ; Giorginoi</w:t>
      </w:r>
      <w:r w:rsidRPr="00F83E0B">
        <w:rPr>
          <w:b/>
          <w:sz w:val="24"/>
          <w:szCs w:val="24"/>
          <w:lang w:val="en-US"/>
        </w:rPr>
        <w:t>.G ; Kolden .K ( 2009)</w:t>
      </w:r>
      <w:r>
        <w:rPr>
          <w:sz w:val="24"/>
          <w:szCs w:val="24"/>
          <w:lang w:val="en-US"/>
        </w:rPr>
        <w:t xml:space="preserve"> “ Does financial development affect growth ? “ </w:t>
      </w:r>
      <w:r w:rsidRPr="00F83E0B">
        <w:rPr>
          <w:sz w:val="24"/>
          <w:szCs w:val="24"/>
          <w:u w:val="single"/>
          <w:lang w:val="en-US"/>
        </w:rPr>
        <w:t>Applied Economics ; vol 37, n°4, p 1353-1367</w:t>
      </w:r>
    </w:p>
    <w:p w:rsidR="00F56516" w:rsidRPr="000D0856" w:rsidRDefault="00F56516" w:rsidP="00894739">
      <w:pPr>
        <w:rPr>
          <w:sz w:val="24"/>
          <w:szCs w:val="24"/>
          <w:lang w:val="en-US"/>
        </w:rPr>
      </w:pPr>
      <w:r w:rsidRPr="000D0856">
        <w:rPr>
          <w:b/>
          <w:sz w:val="24"/>
          <w:szCs w:val="24"/>
          <w:lang w:val="en-US"/>
        </w:rPr>
        <w:t>-Schumpeter J ( 1991)</w:t>
      </w:r>
      <w:r w:rsidRPr="000D0856">
        <w:rPr>
          <w:sz w:val="24"/>
          <w:szCs w:val="24"/>
          <w:lang w:val="en-US"/>
        </w:rPr>
        <w:t xml:space="preserve"> “ Economic develpement theory “</w:t>
      </w:r>
    </w:p>
    <w:p w:rsidR="00AA03BB" w:rsidRPr="000D0856" w:rsidRDefault="00AA03BB" w:rsidP="00894739">
      <w:pPr>
        <w:rPr>
          <w:sz w:val="24"/>
          <w:szCs w:val="24"/>
          <w:lang w:val="en-US"/>
        </w:rPr>
      </w:pPr>
      <w:r w:rsidRPr="000D0856">
        <w:rPr>
          <w:sz w:val="24"/>
          <w:szCs w:val="24"/>
          <w:lang w:val="en-US"/>
        </w:rPr>
        <w:t>-</w:t>
      </w:r>
      <w:r w:rsidRPr="000D0856">
        <w:rPr>
          <w:b/>
          <w:sz w:val="24"/>
          <w:szCs w:val="24"/>
          <w:lang w:val="en-US"/>
        </w:rPr>
        <w:t>Oluitan R O ( 2012)</w:t>
      </w:r>
      <w:r w:rsidRPr="000D0856">
        <w:rPr>
          <w:sz w:val="24"/>
          <w:szCs w:val="24"/>
          <w:lang w:val="en-US"/>
        </w:rPr>
        <w:t xml:space="preserve"> “ Bank credit and economic growth : evidence from Nigeria” International Business and Managemnt ; vol 5 , n°2 , p 102-110</w:t>
      </w:r>
    </w:p>
    <w:p w:rsidR="00AE765F" w:rsidRDefault="00AE765F" w:rsidP="00894739">
      <w:pPr>
        <w:rPr>
          <w:sz w:val="24"/>
          <w:szCs w:val="24"/>
          <w:lang w:val="en-US"/>
        </w:rPr>
      </w:pPr>
      <w:r w:rsidRPr="00F83E0B">
        <w:rPr>
          <w:b/>
          <w:sz w:val="24"/>
          <w:szCs w:val="24"/>
          <w:lang w:val="en-US"/>
        </w:rPr>
        <w:t>-</w:t>
      </w:r>
      <w:r w:rsidR="00F83E0B" w:rsidRPr="00F83E0B">
        <w:rPr>
          <w:b/>
          <w:sz w:val="24"/>
          <w:szCs w:val="24"/>
          <w:lang w:val="en-US"/>
        </w:rPr>
        <w:t>Vaithilingam .S ; Guru .B.K ; Shanmugam B ( 2008)</w:t>
      </w:r>
      <w:r w:rsidR="00F83E0B">
        <w:rPr>
          <w:sz w:val="24"/>
          <w:szCs w:val="24"/>
          <w:lang w:val="en-US"/>
        </w:rPr>
        <w:t xml:space="preserve"> “ Bank lending and economic growth in Malaysia “ Journal of Asia </w:t>
      </w:r>
      <w:r w:rsidR="00937AFC">
        <w:rPr>
          <w:sz w:val="24"/>
          <w:szCs w:val="24"/>
          <w:lang w:val="en-US"/>
        </w:rPr>
        <w:t>Pacific</w:t>
      </w:r>
      <w:r w:rsidR="00F83E0B">
        <w:rPr>
          <w:sz w:val="24"/>
          <w:szCs w:val="24"/>
          <w:lang w:val="en-US"/>
        </w:rPr>
        <w:t xml:space="preserve"> Business</w:t>
      </w:r>
    </w:p>
    <w:p w:rsidR="00F83E0B" w:rsidRPr="00F83E0B" w:rsidRDefault="00F83E0B" w:rsidP="00F83E0B">
      <w:pPr>
        <w:rPr>
          <w:sz w:val="24"/>
          <w:szCs w:val="24"/>
          <w:u w:val="single"/>
          <w:lang w:val="en-US"/>
        </w:rPr>
      </w:pPr>
      <w:r>
        <w:rPr>
          <w:sz w:val="24"/>
          <w:szCs w:val="24"/>
          <w:lang w:val="en-US"/>
        </w:rPr>
        <w:t>-</w:t>
      </w:r>
      <w:r w:rsidRPr="00F83E0B">
        <w:rPr>
          <w:b/>
          <w:sz w:val="24"/>
          <w:szCs w:val="24"/>
          <w:lang w:val="en-US"/>
        </w:rPr>
        <w:t>Wachtel .P ( 2018</w:t>
      </w:r>
      <w:r>
        <w:rPr>
          <w:sz w:val="24"/>
          <w:szCs w:val="24"/>
          <w:lang w:val="en-US"/>
        </w:rPr>
        <w:t xml:space="preserve">) “ Credit Deepening : preurson to growth or crisis ? “ </w:t>
      </w:r>
      <w:r w:rsidRPr="00F83E0B">
        <w:rPr>
          <w:sz w:val="24"/>
          <w:szCs w:val="24"/>
          <w:u w:val="single"/>
          <w:lang w:val="en-US"/>
        </w:rPr>
        <w:t>Comparative Economic Studies ; vol 60 , n°1, p 34-43</w:t>
      </w:r>
    </w:p>
    <w:p w:rsidR="00F83E0B" w:rsidRPr="00AE765F" w:rsidRDefault="00F83E0B" w:rsidP="00894739">
      <w:pPr>
        <w:rPr>
          <w:sz w:val="24"/>
          <w:szCs w:val="24"/>
          <w:lang w:val="en-US"/>
        </w:rPr>
      </w:pPr>
    </w:p>
    <w:p w:rsidR="00AD62E6" w:rsidRPr="00AE765F" w:rsidRDefault="00AD62E6" w:rsidP="00894739">
      <w:pPr>
        <w:rPr>
          <w:lang w:val="en-US"/>
        </w:rPr>
      </w:pPr>
    </w:p>
    <w:p w:rsidR="00AD62E6" w:rsidRPr="00AE765F" w:rsidRDefault="00AD62E6" w:rsidP="00894739">
      <w:pPr>
        <w:rPr>
          <w:lang w:val="en-US"/>
        </w:rPr>
      </w:pPr>
    </w:p>
    <w:p w:rsidR="00894739" w:rsidRPr="00AE765F" w:rsidRDefault="00894739" w:rsidP="00894739">
      <w:pPr>
        <w:rPr>
          <w:lang w:val="en-US"/>
        </w:rPr>
      </w:pPr>
    </w:p>
    <w:p w:rsidR="00894739" w:rsidRPr="00AE765F" w:rsidRDefault="00894739" w:rsidP="00894739">
      <w:pPr>
        <w:rPr>
          <w:lang w:val="en-US"/>
        </w:rPr>
      </w:pPr>
    </w:p>
    <w:p w:rsidR="00161CB4" w:rsidRPr="00AE765F" w:rsidRDefault="00161CB4">
      <w:pPr>
        <w:rPr>
          <w:lang w:val="en-US"/>
        </w:rPr>
      </w:pPr>
    </w:p>
    <w:p w:rsidR="00161CB4" w:rsidRPr="00AE765F" w:rsidRDefault="00161CB4">
      <w:pPr>
        <w:rPr>
          <w:lang w:val="en-US"/>
        </w:rPr>
      </w:pPr>
    </w:p>
    <w:p w:rsidR="00161CB4" w:rsidRPr="00AE765F" w:rsidRDefault="00161CB4">
      <w:pPr>
        <w:rPr>
          <w:lang w:val="en-US"/>
        </w:rPr>
      </w:pPr>
    </w:p>
    <w:p w:rsidR="00161CB4" w:rsidRPr="00AE765F" w:rsidRDefault="00161CB4">
      <w:pPr>
        <w:rPr>
          <w:lang w:val="en-US"/>
        </w:rPr>
      </w:pPr>
    </w:p>
    <w:p w:rsidR="00161CB4" w:rsidRPr="00AE765F" w:rsidRDefault="00161CB4">
      <w:pPr>
        <w:rPr>
          <w:lang w:val="en-US"/>
        </w:rPr>
      </w:pPr>
    </w:p>
    <w:p w:rsidR="00161CB4" w:rsidRPr="00AE765F" w:rsidRDefault="00161CB4">
      <w:pPr>
        <w:rPr>
          <w:lang w:val="en-US"/>
        </w:rPr>
      </w:pPr>
    </w:p>
    <w:p w:rsidR="00161CB4" w:rsidRPr="00AE765F" w:rsidRDefault="00161CB4">
      <w:pPr>
        <w:rPr>
          <w:lang w:val="en-US"/>
        </w:rPr>
      </w:pPr>
    </w:p>
    <w:p w:rsidR="00161CB4" w:rsidRPr="00AE765F" w:rsidRDefault="00161CB4">
      <w:pPr>
        <w:rPr>
          <w:lang w:val="en-US"/>
        </w:rPr>
      </w:pPr>
    </w:p>
    <w:p w:rsidR="00894739" w:rsidRPr="00AE765F" w:rsidRDefault="00894739" w:rsidP="00894739">
      <w:pPr>
        <w:rPr>
          <w:b/>
          <w:sz w:val="28"/>
          <w:szCs w:val="28"/>
          <w:lang w:val="en-US"/>
        </w:rPr>
      </w:pPr>
    </w:p>
    <w:p w:rsidR="00894739" w:rsidRPr="00AE765F" w:rsidRDefault="00894739" w:rsidP="00894739">
      <w:pPr>
        <w:rPr>
          <w:b/>
          <w:sz w:val="28"/>
          <w:szCs w:val="28"/>
          <w:lang w:val="en-US"/>
        </w:rPr>
      </w:pPr>
    </w:p>
    <w:p w:rsidR="00894739" w:rsidRPr="00AE765F" w:rsidRDefault="00894739" w:rsidP="00894739">
      <w:pPr>
        <w:rPr>
          <w:b/>
          <w:sz w:val="28"/>
          <w:szCs w:val="28"/>
          <w:lang w:val="en-US"/>
        </w:rPr>
      </w:pPr>
    </w:p>
    <w:p w:rsidR="00894739" w:rsidRPr="00AE765F" w:rsidRDefault="00894739" w:rsidP="00894739">
      <w:pPr>
        <w:rPr>
          <w:b/>
          <w:sz w:val="28"/>
          <w:szCs w:val="28"/>
          <w:lang w:val="en-US"/>
        </w:rPr>
      </w:pPr>
    </w:p>
    <w:sectPr w:rsidR="00894739" w:rsidRPr="00AE765F" w:rsidSect="007C21F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C90" w:rsidRDefault="00406C90" w:rsidP="00894739">
      <w:pPr>
        <w:spacing w:after="0" w:line="240" w:lineRule="auto"/>
      </w:pPr>
      <w:r>
        <w:separator/>
      </w:r>
    </w:p>
  </w:endnote>
  <w:endnote w:type="continuationSeparator" w:id="1">
    <w:p w:rsidR="00406C90" w:rsidRDefault="00406C90" w:rsidP="00894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4D" w:rsidRDefault="0024544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65969"/>
      <w:docPartObj>
        <w:docPartGallery w:val="Page Numbers (Bottom of Page)"/>
        <w:docPartUnique/>
      </w:docPartObj>
    </w:sdtPr>
    <w:sdtContent>
      <w:p w:rsidR="0024544D" w:rsidRDefault="004114EA">
        <w:pPr>
          <w:pStyle w:val="Pieddepage"/>
          <w:jc w:val="center"/>
        </w:pPr>
        <w:fldSimple w:instr=" PAGE   \* MERGEFORMAT ">
          <w:r w:rsidR="000D0856">
            <w:rPr>
              <w:noProof/>
            </w:rPr>
            <w:t>1</w:t>
          </w:r>
        </w:fldSimple>
      </w:p>
    </w:sdtContent>
  </w:sdt>
  <w:p w:rsidR="0024544D" w:rsidRDefault="0024544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4D" w:rsidRDefault="002454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C90" w:rsidRDefault="00406C90" w:rsidP="00894739">
      <w:pPr>
        <w:spacing w:after="0" w:line="240" w:lineRule="auto"/>
      </w:pPr>
      <w:r>
        <w:separator/>
      </w:r>
    </w:p>
  </w:footnote>
  <w:footnote w:type="continuationSeparator" w:id="1">
    <w:p w:rsidR="00406C90" w:rsidRDefault="00406C90" w:rsidP="00894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4D" w:rsidRDefault="0024544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4D" w:rsidRDefault="0024544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4D" w:rsidRDefault="0024544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FFB"/>
    <w:multiLevelType w:val="hybridMultilevel"/>
    <w:tmpl w:val="4A9498A8"/>
    <w:lvl w:ilvl="0" w:tplc="2DC8C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161CB4"/>
    <w:rsid w:val="00054E90"/>
    <w:rsid w:val="00080CA1"/>
    <w:rsid w:val="000956CF"/>
    <w:rsid w:val="000D0856"/>
    <w:rsid w:val="00143D07"/>
    <w:rsid w:val="0014699B"/>
    <w:rsid w:val="00161CB4"/>
    <w:rsid w:val="002015D6"/>
    <w:rsid w:val="0024544D"/>
    <w:rsid w:val="00247DFD"/>
    <w:rsid w:val="002E24BC"/>
    <w:rsid w:val="00302F11"/>
    <w:rsid w:val="003405CA"/>
    <w:rsid w:val="00354745"/>
    <w:rsid w:val="00385500"/>
    <w:rsid w:val="003A29B1"/>
    <w:rsid w:val="00406C90"/>
    <w:rsid w:val="004114EA"/>
    <w:rsid w:val="00463A07"/>
    <w:rsid w:val="00596312"/>
    <w:rsid w:val="005A4BA8"/>
    <w:rsid w:val="005B3EFD"/>
    <w:rsid w:val="005B64FF"/>
    <w:rsid w:val="005F19AA"/>
    <w:rsid w:val="006558A5"/>
    <w:rsid w:val="006755E6"/>
    <w:rsid w:val="00685967"/>
    <w:rsid w:val="006872DB"/>
    <w:rsid w:val="006A263B"/>
    <w:rsid w:val="006E7C90"/>
    <w:rsid w:val="00724FAD"/>
    <w:rsid w:val="007B3DA6"/>
    <w:rsid w:val="007C21F6"/>
    <w:rsid w:val="007D70DD"/>
    <w:rsid w:val="007F0786"/>
    <w:rsid w:val="007F4110"/>
    <w:rsid w:val="00894739"/>
    <w:rsid w:val="008B10E1"/>
    <w:rsid w:val="008C64FE"/>
    <w:rsid w:val="008E79AA"/>
    <w:rsid w:val="009206E1"/>
    <w:rsid w:val="009231FE"/>
    <w:rsid w:val="00937AFC"/>
    <w:rsid w:val="009B32A1"/>
    <w:rsid w:val="00A070B2"/>
    <w:rsid w:val="00A27DD2"/>
    <w:rsid w:val="00A949B4"/>
    <w:rsid w:val="00AA03BB"/>
    <w:rsid w:val="00AD60EE"/>
    <w:rsid w:val="00AD62E6"/>
    <w:rsid w:val="00AD736A"/>
    <w:rsid w:val="00AE765F"/>
    <w:rsid w:val="00B01BCB"/>
    <w:rsid w:val="00B160BB"/>
    <w:rsid w:val="00B5182D"/>
    <w:rsid w:val="00BF6C99"/>
    <w:rsid w:val="00C00CD2"/>
    <w:rsid w:val="00C42FC4"/>
    <w:rsid w:val="00D652A2"/>
    <w:rsid w:val="00E329CB"/>
    <w:rsid w:val="00E65D4E"/>
    <w:rsid w:val="00EA0508"/>
    <w:rsid w:val="00F56516"/>
    <w:rsid w:val="00F83E0B"/>
    <w:rsid w:val="00FF19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956CF"/>
    <w:rPr>
      <w:color w:val="0000FF"/>
      <w:u w:val="single"/>
    </w:rPr>
  </w:style>
  <w:style w:type="character" w:styleId="Accentuation">
    <w:name w:val="Emphasis"/>
    <w:basedOn w:val="Policepardfaut"/>
    <w:uiPriority w:val="20"/>
    <w:qFormat/>
    <w:rsid w:val="000956CF"/>
    <w:rPr>
      <w:i/>
      <w:iCs/>
    </w:rPr>
  </w:style>
  <w:style w:type="paragraph" w:styleId="Paragraphedeliste">
    <w:name w:val="List Paragraph"/>
    <w:basedOn w:val="Normal"/>
    <w:uiPriority w:val="34"/>
    <w:qFormat/>
    <w:rsid w:val="00894739"/>
    <w:pPr>
      <w:ind w:left="720"/>
      <w:contextualSpacing/>
    </w:pPr>
  </w:style>
  <w:style w:type="table" w:styleId="Grilledutableau">
    <w:name w:val="Table Grid"/>
    <w:basedOn w:val="TableauNormal"/>
    <w:uiPriority w:val="59"/>
    <w:rsid w:val="00894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947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94739"/>
    <w:rPr>
      <w:b/>
      <w:bCs/>
    </w:rPr>
  </w:style>
  <w:style w:type="paragraph" w:styleId="En-tte">
    <w:name w:val="header"/>
    <w:basedOn w:val="Normal"/>
    <w:link w:val="En-tteCar"/>
    <w:uiPriority w:val="99"/>
    <w:semiHidden/>
    <w:unhideWhenUsed/>
    <w:rsid w:val="0089473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94739"/>
  </w:style>
  <w:style w:type="paragraph" w:styleId="Pieddepage">
    <w:name w:val="footer"/>
    <w:basedOn w:val="Normal"/>
    <w:link w:val="PieddepageCar"/>
    <w:uiPriority w:val="99"/>
    <w:unhideWhenUsed/>
    <w:rsid w:val="008947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47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content/doi/10.1108/JEFAS-12-2017-0125/full/html" TargetMode="External"/><Relationship Id="rId13" Type="http://schemas.openxmlformats.org/officeDocument/2006/relationships/hyperlink" Target="https://jfin-swufe.springeropen.com/articles/10.1186/s40854-019-0130-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fin-swufe.springeropen.com/articles/10.1186/s40854-019-0130-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fin-swufe.springeropen.com/articles/10.1186/s40854-019-0130-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merald.com/insight/content/doi/10.1108/JEFAS-12-2017-0125/full/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merald.com/insight/content/doi/10.1108/JEFAS-12-2017-0125/full/html" TargetMode="External"/><Relationship Id="rId14" Type="http://schemas.openxmlformats.org/officeDocument/2006/relationships/hyperlink" Target="https://jfin-swufe.springeropen.com/articles/10.1186/s40854-019-0130-8"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FE76-A500-42F2-A889-F92690A5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4046</Words>
  <Characters>22254</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2023-04-29T09:15:00Z</dcterms:created>
  <dcterms:modified xsi:type="dcterms:W3CDTF">2023-04-29T09:15:00Z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-2049568412</vt:i4>
  </property>
</Properties>
</file>