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3A5" w:rsidRDefault="00E623A5" w:rsidP="00E623A5">
      <w:pPr>
        <w:pStyle w:val="Default"/>
        <w:spacing w:after="240"/>
        <w:jc w:val="center"/>
        <w:rPr>
          <w:rFonts w:ascii="Times New Roman" w:hAnsi="Times New Roman" w:cs="Times New Roman"/>
          <w:b/>
        </w:rPr>
      </w:pPr>
      <w:r w:rsidRPr="003D7507">
        <w:rPr>
          <w:rFonts w:ascii="Times New Roman" w:hAnsi="Times New Roman" w:cs="Times New Roman"/>
          <w:b/>
        </w:rPr>
        <w:t>Export Credit and Non-Oil Export Performance in Nigeria</w:t>
      </w:r>
    </w:p>
    <w:p w:rsidR="00734F23" w:rsidRDefault="00734F23" w:rsidP="00E623A5">
      <w:pPr>
        <w:pStyle w:val="Default"/>
        <w:spacing w:after="240"/>
        <w:jc w:val="center"/>
        <w:rPr>
          <w:rFonts w:ascii="Times New Roman" w:hAnsi="Times New Roman" w:cs="Times New Roman"/>
          <w:b/>
        </w:rPr>
      </w:pPr>
    </w:p>
    <w:p w:rsidR="00734F23" w:rsidRDefault="00734F23" w:rsidP="00734F23">
      <w:pPr>
        <w:jc w:val="center"/>
        <w:rPr>
          <w:rFonts w:ascii="Times New Roman" w:hAnsi="Times New Roman" w:cs="Times New Roman"/>
          <w:b/>
          <w:sz w:val="24"/>
          <w:szCs w:val="24"/>
        </w:rPr>
      </w:pPr>
      <w:r>
        <w:rPr>
          <w:rFonts w:ascii="Times New Roman" w:hAnsi="Times New Roman" w:cs="Times New Roman"/>
          <w:b/>
          <w:sz w:val="24"/>
          <w:szCs w:val="24"/>
        </w:rPr>
        <w:t xml:space="preserve">Bashir </w:t>
      </w:r>
      <w:proofErr w:type="spellStart"/>
      <w:r>
        <w:rPr>
          <w:rFonts w:ascii="Times New Roman" w:hAnsi="Times New Roman" w:cs="Times New Roman"/>
          <w:b/>
          <w:sz w:val="24"/>
          <w:szCs w:val="24"/>
        </w:rPr>
        <w:t>Adelowo</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Wahab</w:t>
      </w:r>
      <w:proofErr w:type="spellEnd"/>
    </w:p>
    <w:p w:rsidR="00734F23" w:rsidRDefault="00C67241" w:rsidP="00E623A5">
      <w:pPr>
        <w:pStyle w:val="Default"/>
        <w:spacing w:after="240"/>
        <w:jc w:val="center"/>
        <w:rPr>
          <w:rFonts w:ascii="Times New Roman" w:hAnsi="Times New Roman" w:cs="Times New Roman"/>
          <w:b/>
        </w:rPr>
      </w:pPr>
      <w:r>
        <w:rPr>
          <w:rFonts w:ascii="Times New Roman" w:hAnsi="Times New Roman" w:cs="Times New Roman"/>
          <w:b/>
        </w:rPr>
        <w:t xml:space="preserve">Nigerian Institute of Social and Economic Research (NISER), </w:t>
      </w:r>
      <w:r w:rsidR="00734F23">
        <w:rPr>
          <w:rFonts w:ascii="Times New Roman" w:hAnsi="Times New Roman" w:cs="Times New Roman"/>
          <w:b/>
        </w:rPr>
        <w:t>Ibadan, Nigeria.</w:t>
      </w:r>
    </w:p>
    <w:p w:rsidR="00687BEA" w:rsidRDefault="00687BEA" w:rsidP="00687BEA">
      <w:pPr>
        <w:jc w:val="center"/>
        <w:rPr>
          <w:rStyle w:val="Hyperlink"/>
          <w:rFonts w:ascii="Times New Roman" w:hAnsi="Times New Roman" w:cs="Times New Roman"/>
          <w:sz w:val="24"/>
          <w:szCs w:val="24"/>
          <w:shd w:val="clear" w:color="auto" w:fill="FFFFFF"/>
        </w:rPr>
      </w:pPr>
      <w:r>
        <w:rPr>
          <w:rFonts w:ascii="Times New Roman" w:hAnsi="Times New Roman" w:cs="Times New Roman"/>
          <w:sz w:val="24"/>
          <w:szCs w:val="24"/>
        </w:rPr>
        <w:t xml:space="preserve">Email address: </w:t>
      </w:r>
      <w:r w:rsidR="00697538">
        <w:rPr>
          <w:rStyle w:val="Hyperlink"/>
          <w:rFonts w:ascii="Times New Roman" w:hAnsi="Times New Roman" w:cs="Times New Roman"/>
          <w:color w:val="auto"/>
          <w:sz w:val="24"/>
          <w:szCs w:val="24"/>
          <w:u w:val="none"/>
          <w:shd w:val="clear" w:color="auto" w:fill="FFFFFF"/>
        </w:rPr>
        <w:t>wahabniser2013</w:t>
      </w:r>
      <w:r>
        <w:rPr>
          <w:rStyle w:val="Hyperlink"/>
          <w:rFonts w:ascii="Times New Roman" w:hAnsi="Times New Roman" w:cs="Times New Roman"/>
          <w:color w:val="auto"/>
          <w:sz w:val="24"/>
          <w:szCs w:val="24"/>
          <w:u w:val="none"/>
          <w:shd w:val="clear" w:color="auto" w:fill="FFFFFF"/>
        </w:rPr>
        <w:t>@gmail.com</w:t>
      </w:r>
    </w:p>
    <w:p w:rsidR="00687BEA" w:rsidRPr="003D7507" w:rsidRDefault="00687BEA" w:rsidP="00E623A5">
      <w:pPr>
        <w:pStyle w:val="Default"/>
        <w:spacing w:after="240"/>
        <w:jc w:val="center"/>
        <w:rPr>
          <w:rFonts w:ascii="Times New Roman" w:hAnsi="Times New Roman" w:cs="Times New Roman"/>
          <w:b/>
        </w:rPr>
      </w:pPr>
    </w:p>
    <w:p w:rsidR="00F34625" w:rsidRPr="000C1CBC" w:rsidRDefault="00C00D55" w:rsidP="00C00D55">
      <w:pPr>
        <w:pStyle w:val="H1"/>
        <w:jc w:val="left"/>
      </w:pPr>
      <w:bookmarkStart w:id="0" w:name="_Toc97822122"/>
      <w:bookmarkStart w:id="1" w:name="_Toc115647099"/>
      <w:r>
        <w:t>Abstract</w:t>
      </w:r>
      <w:bookmarkEnd w:id="0"/>
      <w:bookmarkEnd w:id="1"/>
    </w:p>
    <w:p w:rsidR="00F34625" w:rsidRPr="005D6C5B" w:rsidRDefault="00F34625" w:rsidP="00F34625">
      <w:pPr>
        <w:autoSpaceDE w:val="0"/>
        <w:autoSpaceDN w:val="0"/>
        <w:adjustRightInd w:val="0"/>
        <w:spacing w:before="240"/>
        <w:jc w:val="both"/>
        <w:rPr>
          <w:rFonts w:ascii="Times New Roman" w:hAnsi="Times New Roman" w:cs="Times New Roman"/>
          <w:sz w:val="24"/>
          <w:szCs w:val="24"/>
        </w:rPr>
      </w:pPr>
      <w:r w:rsidRPr="005D6C5B">
        <w:rPr>
          <w:rFonts w:ascii="Times New Roman" w:eastAsia="TimesNewRomanPSMT" w:hAnsi="Times New Roman" w:cs="Times New Roman"/>
          <w:sz w:val="24"/>
          <w:szCs w:val="24"/>
        </w:rPr>
        <w:t>Credit has been identified as a critical factor in facilitating the country's export activities. Extant studies have shown that poor performance of Nigeria’s non-oil export sector is partly due to poor a</w:t>
      </w:r>
      <w:r w:rsidRPr="005D6C5B">
        <w:rPr>
          <w:rFonts w:ascii="Times New Roman" w:hAnsi="Times New Roman" w:cs="Times New Roman"/>
          <w:sz w:val="24"/>
          <w:szCs w:val="24"/>
        </w:rPr>
        <w:t xml:space="preserve">ccess to credit to finance both the pre-shipment and post-shipment stages of exporting activities. </w:t>
      </w:r>
      <w:r w:rsidRPr="005D6C5B">
        <w:rPr>
          <w:rFonts w:ascii="Times New Roman" w:eastAsia="TimesNewRomanPSMT" w:hAnsi="Times New Roman" w:cs="Times New Roman"/>
          <w:sz w:val="24"/>
          <w:szCs w:val="24"/>
        </w:rPr>
        <w:t xml:space="preserve">This study therefore </w:t>
      </w:r>
      <w:r w:rsidRPr="005D6C5B">
        <w:rPr>
          <w:rFonts w:ascii="Times New Roman" w:hAnsi="Times New Roman" w:cs="Times New Roman"/>
          <w:sz w:val="24"/>
          <w:szCs w:val="24"/>
        </w:rPr>
        <w:t xml:space="preserve">assessed the impact of export credit on non-oil export performance in Nigeria during 1981-2021. </w:t>
      </w:r>
      <w:r w:rsidRPr="005D6C5B">
        <w:rPr>
          <w:rFonts w:ascii="Times New Roman" w:hAnsi="Times New Roman" w:cs="Times New Roman"/>
          <w:sz w:val="24"/>
          <w:szCs w:val="24"/>
          <w:lang w:val="en-US"/>
        </w:rPr>
        <w:t xml:space="preserve">The stochastic properties of the time series data were examined using conventional unit root tests, in particular, ADF, PP and KPSS. </w:t>
      </w:r>
      <w:r w:rsidRPr="005D6C5B">
        <w:rPr>
          <w:rFonts w:ascii="Times New Roman" w:hAnsi="Times New Roman" w:cs="Times New Roman"/>
          <w:color w:val="000000"/>
          <w:sz w:val="24"/>
          <w:szCs w:val="24"/>
          <w:lang w:val="en-US"/>
        </w:rPr>
        <w:t xml:space="preserve">Their results indicates that the series are combination of both </w:t>
      </w:r>
      <w:proofErr w:type="gramStart"/>
      <w:r w:rsidRPr="005D6C5B">
        <w:rPr>
          <w:rFonts w:ascii="Times New Roman" w:hAnsi="Times New Roman" w:cs="Times New Roman"/>
          <w:color w:val="000000"/>
          <w:sz w:val="24"/>
          <w:szCs w:val="24"/>
          <w:lang w:val="en-US"/>
        </w:rPr>
        <w:t>I(</w:t>
      </w:r>
      <w:proofErr w:type="gramEnd"/>
      <w:r w:rsidRPr="005D6C5B">
        <w:rPr>
          <w:rFonts w:ascii="Times New Roman" w:hAnsi="Times New Roman" w:cs="Times New Roman"/>
          <w:color w:val="000000"/>
          <w:sz w:val="24"/>
          <w:szCs w:val="24"/>
          <w:lang w:val="en-US"/>
        </w:rPr>
        <w:t xml:space="preserve">0) and I(1) in the same specification which prompted the use of ARDL. </w:t>
      </w:r>
      <w:r w:rsidRPr="005D6C5B">
        <w:rPr>
          <w:rFonts w:ascii="Times New Roman" w:hAnsi="Times New Roman" w:cs="Times New Roman"/>
          <w:sz w:val="24"/>
          <w:szCs w:val="24"/>
        </w:rPr>
        <w:t>Four different indicators were used to proxy non-oil export performance: value of total non-oil export, non-oil export as a percentage of GDP, non-oil export as a percentage of total export and growth rate of non-oil export (%). The short-run estimates reveal that commercial banks’ credit to non-oil exporters D(LCBEC), openness to trade D(LOPEN), The lag value of OPEN in period t</w:t>
      </w:r>
      <w:bookmarkStart w:id="2" w:name="_GoBack"/>
      <w:bookmarkEnd w:id="2"/>
      <w:r w:rsidRPr="005D6C5B">
        <w:rPr>
          <w:rFonts w:ascii="Times New Roman" w:hAnsi="Times New Roman" w:cs="Times New Roman"/>
          <w:sz w:val="24"/>
          <w:szCs w:val="24"/>
        </w:rPr>
        <w:t xml:space="preserve">wo D(LOPEN(-2)) and real GDP D(LRGDP) has a significant positive impact on non-oil export. </w:t>
      </w:r>
      <w:r w:rsidRPr="005D6C5B">
        <w:rPr>
          <w:rFonts w:ascii="Times New Roman" w:hAnsi="Times New Roman"/>
          <w:sz w:val="24"/>
          <w:szCs w:val="24"/>
        </w:rPr>
        <w:t xml:space="preserve">With respect to </w:t>
      </w:r>
      <w:r w:rsidRPr="005D6C5B">
        <w:rPr>
          <w:rFonts w:ascii="Times New Roman" w:hAnsi="Times New Roman" w:cs="Times New Roman"/>
          <w:color w:val="000000"/>
          <w:sz w:val="24"/>
          <w:szCs w:val="24"/>
        </w:rPr>
        <w:t>total non-oil export as percentage of GDP, the estimates</w:t>
      </w:r>
      <w:r w:rsidRPr="005D6C5B">
        <w:rPr>
          <w:rFonts w:ascii="Times New Roman" w:hAnsi="Times New Roman" w:cs="Times New Roman"/>
          <w:sz w:val="24"/>
          <w:szCs w:val="24"/>
        </w:rPr>
        <w:t xml:space="preserve"> shows that only </w:t>
      </w:r>
      <w:proofErr w:type="gramStart"/>
      <w:r w:rsidRPr="005D6C5B">
        <w:rPr>
          <w:rFonts w:ascii="Times New Roman" w:hAnsi="Times New Roman" w:cs="Times New Roman"/>
          <w:color w:val="000000"/>
          <w:sz w:val="24"/>
          <w:szCs w:val="24"/>
        </w:rPr>
        <w:t>D(</w:t>
      </w:r>
      <w:proofErr w:type="gramEnd"/>
      <w:r w:rsidRPr="005D6C5B">
        <w:rPr>
          <w:rFonts w:ascii="Times New Roman" w:hAnsi="Times New Roman" w:cs="Times New Roman"/>
          <w:color w:val="000000"/>
          <w:sz w:val="24"/>
          <w:szCs w:val="24"/>
        </w:rPr>
        <w:t xml:space="preserve">LRGDP) has significant positive impact. In the case of growth rate of non-oil export, lag value of monetary policy rate in period one </w:t>
      </w:r>
      <w:proofErr w:type="gramStart"/>
      <w:r w:rsidRPr="005D6C5B">
        <w:rPr>
          <w:rFonts w:ascii="Times New Roman" w:hAnsi="Times New Roman" w:cs="Times New Roman"/>
          <w:color w:val="000000"/>
          <w:sz w:val="24"/>
          <w:szCs w:val="24"/>
        </w:rPr>
        <w:t>D(</w:t>
      </w:r>
      <w:proofErr w:type="gramEnd"/>
      <w:r w:rsidRPr="005D6C5B">
        <w:rPr>
          <w:rFonts w:ascii="Times New Roman" w:hAnsi="Times New Roman" w:cs="Times New Roman"/>
          <w:color w:val="000000"/>
          <w:sz w:val="24"/>
          <w:szCs w:val="24"/>
        </w:rPr>
        <w:t xml:space="preserve">MPR(-1)) and lag value of openness to trade in period one D(LOPEN(-1)) have significant impact. </w:t>
      </w:r>
      <w:r w:rsidRPr="005D6C5B">
        <w:rPr>
          <w:rFonts w:ascii="Times New Roman" w:hAnsi="Times New Roman" w:cs="Times New Roman"/>
          <w:sz w:val="24"/>
          <w:szCs w:val="24"/>
        </w:rPr>
        <w:t xml:space="preserve">In the long-run, the estimates show significant positive impact of commercial banks’ credit to non-oil exporters, openness to trade and real GDP on non-oil export performance while significant negative impact of monetary policy rate on non-oil export performance. For granger causality test, the results show existence of bi-directional relationship between commercial banks’ export credits (CBEC) and total non-oil export (TNOE). </w:t>
      </w:r>
      <w:r w:rsidR="0061377D">
        <w:rPr>
          <w:rFonts w:ascii="Times New Roman" w:hAnsi="Times New Roman" w:cs="Times New Roman"/>
          <w:sz w:val="24"/>
          <w:szCs w:val="24"/>
        </w:rPr>
        <w:t>Recommendations are discussed in the conclusion section.</w:t>
      </w:r>
    </w:p>
    <w:p w:rsidR="00F34625" w:rsidRPr="001C711C" w:rsidRDefault="00F34625" w:rsidP="00F34625">
      <w:pPr>
        <w:pStyle w:val="H1"/>
        <w:jc w:val="left"/>
        <w:rPr>
          <w:b w:val="0"/>
          <w:sz w:val="24"/>
          <w:szCs w:val="24"/>
        </w:rPr>
        <w:sectPr w:rsidR="00F34625" w:rsidRPr="001C711C" w:rsidSect="00A0579F">
          <w:footerReference w:type="default" r:id="rId6"/>
          <w:footerReference w:type="first" r:id="rId7"/>
          <w:pgSz w:w="11906" w:h="16838"/>
          <w:pgMar w:top="1440" w:right="1440" w:bottom="1440" w:left="1440" w:header="708" w:footer="708" w:gutter="0"/>
          <w:pgNumType w:fmt="lowerRoman" w:start="1"/>
          <w:cols w:space="708"/>
          <w:titlePg/>
          <w:docGrid w:linePitch="360"/>
        </w:sectPr>
      </w:pPr>
      <w:bookmarkStart w:id="3" w:name="_Toc59629064"/>
      <w:bookmarkStart w:id="4" w:name="_Toc71033662"/>
      <w:bookmarkStart w:id="5" w:name="_Toc114691313"/>
      <w:bookmarkStart w:id="6" w:name="_Toc115647100"/>
      <w:r w:rsidRPr="005D6C5B">
        <w:rPr>
          <w:sz w:val="24"/>
          <w:szCs w:val="24"/>
        </w:rPr>
        <w:t xml:space="preserve">Keywords: </w:t>
      </w:r>
      <w:r w:rsidRPr="001C711C">
        <w:rPr>
          <w:b w:val="0"/>
          <w:sz w:val="24"/>
          <w:szCs w:val="24"/>
        </w:rPr>
        <w:t>Commercial Bank Credit, Export Performance, Non-oil, Nigeria</w:t>
      </w:r>
      <w:bookmarkEnd w:id="3"/>
      <w:bookmarkEnd w:id="4"/>
      <w:bookmarkEnd w:id="5"/>
      <w:bookmarkEnd w:id="6"/>
      <w:r w:rsidR="001C711C">
        <w:rPr>
          <w:b w:val="0"/>
          <w:sz w:val="24"/>
          <w:szCs w:val="24"/>
        </w:rPr>
        <w:t>.</w:t>
      </w:r>
    </w:p>
    <w:p w:rsidR="00890556" w:rsidRPr="003D7507" w:rsidRDefault="00BE35CD" w:rsidP="00890556">
      <w:pPr>
        <w:pStyle w:val="Default"/>
        <w:spacing w:line="276" w:lineRule="auto"/>
        <w:jc w:val="both"/>
        <w:rPr>
          <w:rFonts w:ascii="Times New Roman" w:hAnsi="Times New Roman" w:cs="Times New Roman"/>
          <w:b/>
        </w:rPr>
      </w:pPr>
      <w:r>
        <w:rPr>
          <w:rFonts w:ascii="Times New Roman" w:hAnsi="Times New Roman" w:cs="Times New Roman"/>
          <w:b/>
        </w:rPr>
        <w:lastRenderedPageBreak/>
        <w:t>1.0</w:t>
      </w:r>
      <w:r>
        <w:rPr>
          <w:rFonts w:ascii="Times New Roman" w:hAnsi="Times New Roman" w:cs="Times New Roman"/>
          <w:b/>
        </w:rPr>
        <w:tab/>
      </w:r>
      <w:r w:rsidR="00890556" w:rsidRPr="003D7507">
        <w:rPr>
          <w:rFonts w:ascii="Times New Roman" w:hAnsi="Times New Roman" w:cs="Times New Roman"/>
          <w:b/>
        </w:rPr>
        <w:t xml:space="preserve">Introduction </w:t>
      </w:r>
    </w:p>
    <w:p w:rsidR="00890556" w:rsidRPr="00CF6A76" w:rsidRDefault="00890556" w:rsidP="00890556">
      <w:pPr>
        <w:pStyle w:val="Default"/>
        <w:spacing w:before="240" w:line="276" w:lineRule="auto"/>
        <w:jc w:val="both"/>
        <w:rPr>
          <w:rFonts w:ascii="Times New Roman" w:hAnsi="Times New Roman" w:cs="Times New Roman"/>
        </w:rPr>
      </w:pPr>
      <w:r w:rsidRPr="00CF6A76">
        <w:rPr>
          <w:rFonts w:ascii="Times New Roman" w:hAnsi="Times New Roman" w:cs="Times New Roman"/>
        </w:rPr>
        <w:t>In the economic literature, the development potential of developing countries is primarily connected to their ability to establish a cumulative causation process of manufacturing expansion and export development (</w:t>
      </w:r>
      <w:proofErr w:type="spellStart"/>
      <w:r w:rsidRPr="00CF6A76">
        <w:rPr>
          <w:rFonts w:ascii="Times New Roman" w:hAnsi="Times New Roman" w:cs="Times New Roman"/>
        </w:rPr>
        <w:t>Thirlwall</w:t>
      </w:r>
      <w:proofErr w:type="spellEnd"/>
      <w:r w:rsidRPr="00CF6A76">
        <w:rPr>
          <w:rFonts w:ascii="Times New Roman" w:hAnsi="Times New Roman" w:cs="Times New Roman"/>
        </w:rPr>
        <w:t>, 2002). The advocates of export-led growth hypothesis (ELGH) also emphasise the importance of export as an engine of growth (</w:t>
      </w:r>
      <w:r w:rsidRPr="00B87B0F">
        <w:rPr>
          <w:rFonts w:ascii="Times New Roman" w:hAnsi="Times New Roman" w:cs="Times New Roman"/>
        </w:rPr>
        <w:t>Medina-Smith, 2001</w:t>
      </w:r>
      <w:r w:rsidRPr="00CF6A76">
        <w:rPr>
          <w:rFonts w:ascii="Times New Roman" w:hAnsi="Times New Roman" w:cs="Times New Roman"/>
        </w:rPr>
        <w:t>). The fact behind this argument is that countries that engage in export have tendency to increase export earnings, enhance employment generation, create profit, trigger off greater productivity and also accumulate more reserve through which such country could maintain a favourable balance of payment (</w:t>
      </w:r>
      <w:proofErr w:type="spellStart"/>
      <w:r w:rsidRPr="00B87B0F">
        <w:rPr>
          <w:rFonts w:ascii="Times New Roman" w:hAnsi="Times New Roman" w:cs="Times New Roman"/>
          <w:bCs/>
        </w:rPr>
        <w:t>Okosodo</w:t>
      </w:r>
      <w:proofErr w:type="spellEnd"/>
      <w:r w:rsidRPr="00B87B0F">
        <w:rPr>
          <w:rFonts w:ascii="Times New Roman" w:hAnsi="Times New Roman" w:cs="Times New Roman"/>
          <w:bCs/>
        </w:rPr>
        <w:t xml:space="preserve"> and </w:t>
      </w:r>
      <w:proofErr w:type="spellStart"/>
      <w:r w:rsidRPr="00B87B0F">
        <w:rPr>
          <w:rFonts w:ascii="Times New Roman" w:hAnsi="Times New Roman" w:cs="Times New Roman"/>
          <w:bCs/>
        </w:rPr>
        <w:t>Imoughele</w:t>
      </w:r>
      <w:proofErr w:type="spellEnd"/>
      <w:r w:rsidRPr="00B87B0F">
        <w:rPr>
          <w:rFonts w:ascii="Times New Roman" w:hAnsi="Times New Roman" w:cs="Times New Roman"/>
          <w:bCs/>
        </w:rPr>
        <w:t>, 2019</w:t>
      </w:r>
      <w:r w:rsidRPr="00CF6A76">
        <w:rPr>
          <w:rFonts w:ascii="Times New Roman" w:hAnsi="Times New Roman" w:cs="Times New Roman"/>
          <w:bCs/>
        </w:rPr>
        <w:t>)</w:t>
      </w:r>
      <w:r w:rsidRPr="00CF6A76">
        <w:rPr>
          <w:rFonts w:ascii="Times New Roman" w:hAnsi="Times New Roman" w:cs="Times New Roman"/>
        </w:rPr>
        <w:t>. One major development strategy that could aid country’s active participation and full engagement in exporting market is access to credit financing. For a developing country, full realization of a country’s export potential is mainly driven by its access to export credits support (</w:t>
      </w:r>
      <w:proofErr w:type="spellStart"/>
      <w:r w:rsidRPr="00CF6A76">
        <w:rPr>
          <w:rFonts w:ascii="Times New Roman" w:hAnsi="Times New Roman" w:cs="Times New Roman"/>
        </w:rPr>
        <w:t>Oramah</w:t>
      </w:r>
      <w:proofErr w:type="spellEnd"/>
      <w:r w:rsidRPr="00CF6A76">
        <w:rPr>
          <w:rFonts w:ascii="Times New Roman" w:hAnsi="Times New Roman" w:cs="Times New Roman"/>
        </w:rPr>
        <w:t xml:space="preserve">, </w:t>
      </w:r>
      <w:proofErr w:type="spellStart"/>
      <w:r w:rsidRPr="00CF6A76">
        <w:rPr>
          <w:rFonts w:ascii="Times New Roman" w:hAnsi="Times New Roman" w:cs="Times New Roman"/>
        </w:rPr>
        <w:t>Chukwurah</w:t>
      </w:r>
      <w:proofErr w:type="spellEnd"/>
      <w:r w:rsidRPr="00CF6A76">
        <w:rPr>
          <w:rFonts w:ascii="Times New Roman" w:hAnsi="Times New Roman" w:cs="Times New Roman"/>
        </w:rPr>
        <w:t xml:space="preserve"> and </w:t>
      </w:r>
      <w:proofErr w:type="spellStart"/>
      <w:r w:rsidRPr="00CF6A76">
        <w:rPr>
          <w:rFonts w:ascii="Times New Roman" w:hAnsi="Times New Roman" w:cs="Times New Roman"/>
        </w:rPr>
        <w:t>Ojeifo</w:t>
      </w:r>
      <w:proofErr w:type="spellEnd"/>
      <w:r w:rsidRPr="00CF6A76">
        <w:rPr>
          <w:rFonts w:ascii="Times New Roman" w:hAnsi="Times New Roman" w:cs="Times New Roman"/>
        </w:rPr>
        <w:t xml:space="preserve">, 1995). There are two forms of export credit: suppliers’ credit and buyers’ credit. Of particular importance is the credit extended to export suppliers who need to finance both the pre-shipment and post-shipment stages </w:t>
      </w:r>
      <w:r w:rsidRPr="00B87B0F">
        <w:rPr>
          <w:rFonts w:ascii="Times New Roman" w:hAnsi="Times New Roman" w:cs="Times New Roman"/>
        </w:rPr>
        <w:t>(</w:t>
      </w:r>
      <w:proofErr w:type="spellStart"/>
      <w:r w:rsidRPr="00B87B0F">
        <w:rPr>
          <w:rFonts w:ascii="Times New Roman" w:hAnsi="Times New Roman" w:cs="Times New Roman"/>
        </w:rPr>
        <w:t>Anyanwu</w:t>
      </w:r>
      <w:proofErr w:type="spellEnd"/>
      <w:r w:rsidRPr="00B87B0F">
        <w:rPr>
          <w:rFonts w:ascii="Times New Roman" w:hAnsi="Times New Roman" w:cs="Times New Roman"/>
        </w:rPr>
        <w:t>, 1995</w:t>
      </w:r>
      <w:r w:rsidRPr="00CF6A76">
        <w:rPr>
          <w:rFonts w:ascii="Times New Roman" w:hAnsi="Times New Roman" w:cs="Times New Roman"/>
        </w:rPr>
        <w:t xml:space="preserve">). </w:t>
      </w:r>
      <w:r w:rsidRPr="00CF6A76">
        <w:rPr>
          <w:rFonts w:ascii="Times New Roman" w:hAnsi="Times New Roman" w:cs="Times New Roman"/>
          <w:color w:val="auto"/>
        </w:rPr>
        <w:t xml:space="preserve">Access to credit has been considered a </w:t>
      </w:r>
      <w:r w:rsidRPr="00CF6A76">
        <w:rPr>
          <w:rFonts w:ascii="Times New Roman" w:eastAsia="CMR10" w:hAnsi="Times New Roman" w:cs="Times New Roman"/>
          <w:color w:val="auto"/>
        </w:rPr>
        <w:t>significant determinant of international trade flows</w:t>
      </w:r>
      <w:r w:rsidRPr="00CF6A76">
        <w:rPr>
          <w:rFonts w:ascii="Times New Roman" w:hAnsi="Times New Roman" w:cs="Times New Roman"/>
          <w:color w:val="auto"/>
        </w:rPr>
        <w:t>,</w:t>
      </w:r>
      <w:r w:rsidRPr="00CF6A76">
        <w:rPr>
          <w:rFonts w:ascii="Times New Roman" w:hAnsi="Times New Roman" w:cs="Times New Roman"/>
        </w:rPr>
        <w:t xml:space="preserve"> especially in sectors where external finance is strongly relied on (Beck, 2002; </w:t>
      </w:r>
      <w:proofErr w:type="spellStart"/>
      <w:r w:rsidRPr="00CF6A76">
        <w:rPr>
          <w:rFonts w:ascii="Times New Roman" w:hAnsi="Times New Roman" w:cs="Times New Roman"/>
        </w:rPr>
        <w:t>Manova</w:t>
      </w:r>
      <w:proofErr w:type="spellEnd"/>
      <w:r w:rsidRPr="00CF6A76">
        <w:rPr>
          <w:rFonts w:ascii="Times New Roman" w:hAnsi="Times New Roman" w:cs="Times New Roman"/>
        </w:rPr>
        <w:t xml:space="preserve"> </w:t>
      </w:r>
      <w:r w:rsidRPr="00CF6A76">
        <w:rPr>
          <w:rFonts w:ascii="Times New Roman" w:hAnsi="Times New Roman" w:cs="Times New Roman"/>
          <w:i/>
        </w:rPr>
        <w:t>et al.,</w:t>
      </w:r>
      <w:r w:rsidRPr="00CF6A76">
        <w:rPr>
          <w:rFonts w:ascii="Times New Roman" w:hAnsi="Times New Roman" w:cs="Times New Roman"/>
        </w:rPr>
        <w:t xml:space="preserve"> 2011). Countries with adequate financial institutions enjoy a comparative advantage in financially vulnerable areas of activity (Beck, 2002). The collapse of credit markets during the global economic crisis of 2008-2009 hit exporters more than other firms, explaining why international trade fell much more strongly than GDP (</w:t>
      </w:r>
      <w:proofErr w:type="spellStart"/>
      <w:r w:rsidRPr="00CF6A76">
        <w:rPr>
          <w:rFonts w:ascii="Times New Roman" w:hAnsi="Times New Roman" w:cs="Times New Roman"/>
        </w:rPr>
        <w:t>Chor</w:t>
      </w:r>
      <w:proofErr w:type="spellEnd"/>
      <w:r w:rsidRPr="00CF6A76">
        <w:rPr>
          <w:rFonts w:ascii="Times New Roman" w:hAnsi="Times New Roman" w:cs="Times New Roman"/>
        </w:rPr>
        <w:t xml:space="preserve"> and </w:t>
      </w:r>
      <w:proofErr w:type="spellStart"/>
      <w:r w:rsidRPr="00CF6A76">
        <w:rPr>
          <w:rFonts w:ascii="Times New Roman" w:hAnsi="Times New Roman" w:cs="Times New Roman"/>
        </w:rPr>
        <w:t>Manova</w:t>
      </w:r>
      <w:proofErr w:type="spellEnd"/>
      <w:r w:rsidRPr="00CF6A76">
        <w:rPr>
          <w:rFonts w:ascii="Times New Roman" w:hAnsi="Times New Roman" w:cs="Times New Roman"/>
        </w:rPr>
        <w:t xml:space="preserve">, 2011). </w:t>
      </w:r>
    </w:p>
    <w:p w:rsidR="00890556" w:rsidRPr="00CF6A76" w:rsidRDefault="00890556" w:rsidP="00890556">
      <w:pPr>
        <w:pStyle w:val="Default"/>
        <w:spacing w:before="240" w:line="276" w:lineRule="auto"/>
        <w:jc w:val="both"/>
        <w:rPr>
          <w:rFonts w:ascii="Times New Roman" w:hAnsi="Times New Roman" w:cs="Times New Roman"/>
        </w:rPr>
      </w:pPr>
      <w:r w:rsidRPr="00CF6A76">
        <w:rPr>
          <w:rFonts w:ascii="Times New Roman" w:hAnsi="Times New Roman" w:cs="Times New Roman"/>
        </w:rPr>
        <w:t>Domestic producers and exporters usually depend on external source of capital in order to meet the substantial upfront costs required. These costs are incurred during domestic (pre-shipment) and cross-border (post-shipment) operations differently and could not be financed either through retained earnings or internal cash flows from operations (</w:t>
      </w:r>
      <w:proofErr w:type="spellStart"/>
      <w:r w:rsidRPr="00CF6A76">
        <w:rPr>
          <w:rFonts w:ascii="Times New Roman" w:hAnsi="Times New Roman" w:cs="Times New Roman"/>
        </w:rPr>
        <w:t>Manova</w:t>
      </w:r>
      <w:proofErr w:type="spellEnd"/>
      <w:r w:rsidRPr="00CF6A76">
        <w:rPr>
          <w:rFonts w:ascii="Times New Roman" w:hAnsi="Times New Roman" w:cs="Times New Roman"/>
        </w:rPr>
        <w:t>, 2011). This thereby contributes to exporters’ lack of incentive to engage in international trade. For the domestic operation, these costs are mostly fixed in nature and are incurred essentially on R&amp;D and product development, marketing research, advertising, and investment in fixed capital equipment. Also, variable costs constituted by buying of intermediate inputs, advance payments to salaried workers, and land or equipment rental fees are often incurred before production and sales take place. In the case of cross-border operations, other upfront expenses associated with exporting activities are also incurred, thus making production for foreign markets to depend solely on external financing than producing for the home country. Operations at this level also required both sunk/fixed and variable costs of international trade. Activities such as learning about the profitability of potential export markets; making market-specific investments in capacity, product customization and regulatory compliance; and setting up and maintaining foreign distribution networks constitute sunk/fixed costs, while variable costs comprise shipping, duties and freight insurance (</w:t>
      </w:r>
      <w:proofErr w:type="spellStart"/>
      <w:r w:rsidRPr="00CF6A76">
        <w:rPr>
          <w:rFonts w:ascii="Times New Roman" w:hAnsi="Times New Roman" w:cs="Times New Roman"/>
        </w:rPr>
        <w:t>Manova</w:t>
      </w:r>
      <w:proofErr w:type="spellEnd"/>
      <w:r w:rsidRPr="00CF6A76">
        <w:rPr>
          <w:rFonts w:ascii="Times New Roman" w:hAnsi="Times New Roman" w:cs="Times New Roman"/>
        </w:rPr>
        <w:t xml:space="preserve">, 2011). </w:t>
      </w:r>
    </w:p>
    <w:p w:rsidR="00890556" w:rsidRPr="00CF6A76" w:rsidRDefault="00890556" w:rsidP="00890556">
      <w:pPr>
        <w:spacing w:before="240"/>
        <w:jc w:val="both"/>
        <w:rPr>
          <w:rFonts w:ascii="Times New Roman" w:hAnsi="Times New Roman" w:cs="Times New Roman"/>
          <w:sz w:val="24"/>
          <w:szCs w:val="24"/>
        </w:rPr>
      </w:pPr>
      <w:r w:rsidRPr="00CF6A76">
        <w:rPr>
          <w:rFonts w:ascii="Times New Roman" w:hAnsi="Times New Roman" w:cs="Times New Roman"/>
          <w:sz w:val="24"/>
          <w:szCs w:val="24"/>
        </w:rPr>
        <w:t xml:space="preserve">Non–oil export has been recognized as a basis for promoting rapid economic transformation of a nation. Non-oil export dependent countries have tendency to earn huge foreign exchange. </w:t>
      </w:r>
      <w:r w:rsidRPr="00CF6A76">
        <w:rPr>
          <w:rFonts w:ascii="Times New Roman" w:hAnsi="Times New Roman" w:cs="Times New Roman"/>
          <w:sz w:val="24"/>
          <w:szCs w:val="24"/>
        </w:rPr>
        <w:lastRenderedPageBreak/>
        <w:t xml:space="preserve">However, Nigeria’s non-oil export performance is very weak due to high dominance of oil export. The dependence on oil makes the economy vulnerable to fluctuations in oil price. For instance, Nigeria’s total exports stood at ₦330.4 million in 1960 with non-oil export accounted for about 97.2% </w:t>
      </w:r>
      <w:r w:rsidRPr="00872455">
        <w:rPr>
          <w:rFonts w:ascii="Times New Roman" w:hAnsi="Times New Roman" w:cs="Times New Roman"/>
          <w:sz w:val="24"/>
          <w:szCs w:val="24"/>
        </w:rPr>
        <w:t>(CBN, 1993</w:t>
      </w:r>
      <w:r w:rsidRPr="00CF6A76">
        <w:rPr>
          <w:rFonts w:ascii="Times New Roman" w:hAnsi="Times New Roman" w:cs="Times New Roman"/>
          <w:sz w:val="24"/>
          <w:szCs w:val="24"/>
        </w:rPr>
        <w:t>). For two decades, Nigeria recorded a steady increase in its total export to reach highest peak of about ₦14.1 billion in 1980. During these periods, non-oil export has significantly slumped to ₦554.6 million, accounting for 3.9% (CBN, 1993). The increase in total export was attributed to exploration of crude oil and favourable international crude oil price in the 1970s in the world market, thus shifting Nigeria‘s exports towards oil. From 1981 onwards, oil export has been dominating Nigeria’s total expo</w:t>
      </w:r>
      <w:r w:rsidR="004A1692">
        <w:rPr>
          <w:rFonts w:ascii="Times New Roman" w:hAnsi="Times New Roman" w:cs="Times New Roman"/>
          <w:sz w:val="24"/>
          <w:szCs w:val="24"/>
        </w:rPr>
        <w:t>rt, contributing on average 95.0</w:t>
      </w:r>
      <w:r w:rsidRPr="00CF6A76">
        <w:rPr>
          <w:rFonts w:ascii="Times New Roman" w:hAnsi="Times New Roman" w:cs="Times New Roman"/>
          <w:sz w:val="24"/>
          <w:szCs w:val="24"/>
        </w:rPr>
        <w:t xml:space="preserve">% while non-oil export constitutes </w:t>
      </w:r>
      <w:r w:rsidR="00F50A94" w:rsidRPr="00F50A94">
        <w:rPr>
          <w:rFonts w:ascii="Times New Roman" w:hAnsi="Times New Roman" w:cs="Times New Roman"/>
          <w:sz w:val="24"/>
          <w:szCs w:val="24"/>
        </w:rPr>
        <w:t xml:space="preserve">just </w:t>
      </w:r>
      <w:r w:rsidR="004A1692">
        <w:rPr>
          <w:rFonts w:ascii="Times New Roman" w:hAnsi="Times New Roman" w:cs="Times New Roman"/>
          <w:sz w:val="24"/>
          <w:szCs w:val="24"/>
        </w:rPr>
        <w:t>5.0</w:t>
      </w:r>
      <w:r w:rsidR="00F50A94" w:rsidRPr="00F50A94">
        <w:rPr>
          <w:rFonts w:ascii="Times New Roman" w:hAnsi="Times New Roman" w:cs="Times New Roman"/>
          <w:sz w:val="24"/>
          <w:szCs w:val="24"/>
        </w:rPr>
        <w:t>% (CBN, 20</w:t>
      </w:r>
      <w:r w:rsidR="00F50A94">
        <w:rPr>
          <w:rFonts w:ascii="Times New Roman" w:hAnsi="Times New Roman" w:cs="Times New Roman"/>
          <w:sz w:val="24"/>
          <w:szCs w:val="24"/>
        </w:rPr>
        <w:t>22</w:t>
      </w:r>
      <w:r w:rsidRPr="00CF6A76">
        <w:rPr>
          <w:rFonts w:ascii="Times New Roman" w:hAnsi="Times New Roman" w:cs="Times New Roman"/>
          <w:sz w:val="24"/>
          <w:szCs w:val="24"/>
        </w:rPr>
        <w:t>). Also, in 1960, Nigeria’s share of non-oil export in GDP was significantly higher (99.7%) relative to that of oil export (0.3%). However, from 1980 onward, the situation completely changed as the share of oil export in GDP dominated that o</w:t>
      </w:r>
      <w:r w:rsidR="008E4A7C">
        <w:rPr>
          <w:rFonts w:ascii="Times New Roman" w:hAnsi="Times New Roman" w:cs="Times New Roman"/>
          <w:sz w:val="24"/>
          <w:szCs w:val="24"/>
        </w:rPr>
        <w:t>f non-oil with 0.5% 1.3% and 3.4</w:t>
      </w:r>
      <w:r w:rsidRPr="00CF6A76">
        <w:rPr>
          <w:rFonts w:ascii="Times New Roman" w:hAnsi="Times New Roman" w:cs="Times New Roman"/>
          <w:sz w:val="24"/>
          <w:szCs w:val="24"/>
        </w:rPr>
        <w:t xml:space="preserve">% in 2005, 2010 and </w:t>
      </w:r>
      <w:r w:rsidRPr="008E4A7C">
        <w:rPr>
          <w:rFonts w:ascii="Times New Roman" w:hAnsi="Times New Roman" w:cs="Times New Roman"/>
          <w:sz w:val="24"/>
          <w:szCs w:val="24"/>
        </w:rPr>
        <w:t>20</w:t>
      </w:r>
      <w:r w:rsidR="008E4A7C" w:rsidRPr="008E4A7C">
        <w:rPr>
          <w:rFonts w:ascii="Times New Roman" w:hAnsi="Times New Roman" w:cs="Times New Roman"/>
          <w:sz w:val="24"/>
          <w:szCs w:val="24"/>
        </w:rPr>
        <w:t>21</w:t>
      </w:r>
      <w:r w:rsidRPr="008E4A7C">
        <w:rPr>
          <w:rFonts w:ascii="Times New Roman" w:hAnsi="Times New Roman" w:cs="Times New Roman"/>
          <w:sz w:val="24"/>
          <w:szCs w:val="24"/>
        </w:rPr>
        <w:t xml:space="preserve">, respectively (CBN, </w:t>
      </w:r>
      <w:r w:rsidR="008E4A7C">
        <w:rPr>
          <w:rFonts w:ascii="Times New Roman" w:hAnsi="Times New Roman" w:cs="Times New Roman"/>
          <w:sz w:val="24"/>
          <w:szCs w:val="24"/>
        </w:rPr>
        <w:t>2022</w:t>
      </w:r>
      <w:r w:rsidRPr="00CF6A76">
        <w:rPr>
          <w:rFonts w:ascii="Times New Roman" w:hAnsi="Times New Roman" w:cs="Times New Roman"/>
          <w:sz w:val="24"/>
          <w:szCs w:val="24"/>
        </w:rPr>
        <w:t>). Due to this circumstance, the Structural Adjustment Programme (SAP) was introduced as a policy to address the weak performance of the non-oil export sector (</w:t>
      </w:r>
      <w:proofErr w:type="spellStart"/>
      <w:r w:rsidRPr="00CF6A76">
        <w:rPr>
          <w:rFonts w:ascii="Times New Roman" w:hAnsi="Times New Roman" w:cs="Times New Roman"/>
          <w:sz w:val="24"/>
          <w:szCs w:val="24"/>
        </w:rPr>
        <w:t>Akpan</w:t>
      </w:r>
      <w:proofErr w:type="spellEnd"/>
      <w:r w:rsidRPr="00CF6A76">
        <w:rPr>
          <w:rFonts w:ascii="Times New Roman" w:hAnsi="Times New Roman" w:cs="Times New Roman"/>
          <w:sz w:val="24"/>
          <w:szCs w:val="24"/>
        </w:rPr>
        <w:t xml:space="preserve">, </w:t>
      </w:r>
      <w:proofErr w:type="spellStart"/>
      <w:r w:rsidRPr="00CF6A76">
        <w:rPr>
          <w:rFonts w:ascii="Times New Roman" w:hAnsi="Times New Roman" w:cs="Times New Roman"/>
          <w:sz w:val="24"/>
          <w:szCs w:val="24"/>
        </w:rPr>
        <w:t>Nwosu</w:t>
      </w:r>
      <w:proofErr w:type="spellEnd"/>
      <w:r w:rsidRPr="00CF6A76">
        <w:rPr>
          <w:rFonts w:ascii="Times New Roman" w:hAnsi="Times New Roman" w:cs="Times New Roman"/>
          <w:sz w:val="24"/>
          <w:szCs w:val="24"/>
        </w:rPr>
        <w:t xml:space="preserve"> and </w:t>
      </w:r>
      <w:proofErr w:type="spellStart"/>
      <w:r w:rsidRPr="00CF6A76">
        <w:rPr>
          <w:rFonts w:ascii="Times New Roman" w:hAnsi="Times New Roman" w:cs="Times New Roman"/>
          <w:sz w:val="24"/>
          <w:szCs w:val="24"/>
        </w:rPr>
        <w:t>Eweke</w:t>
      </w:r>
      <w:proofErr w:type="spellEnd"/>
      <w:r w:rsidRPr="00CF6A76">
        <w:rPr>
          <w:rFonts w:ascii="Times New Roman" w:hAnsi="Times New Roman" w:cs="Times New Roman"/>
          <w:sz w:val="24"/>
          <w:szCs w:val="24"/>
        </w:rPr>
        <w:t xml:space="preserve">, 2017). </w:t>
      </w:r>
    </w:p>
    <w:p w:rsidR="00890556" w:rsidRPr="00CF6A76" w:rsidRDefault="00890556" w:rsidP="00890556">
      <w:pPr>
        <w:jc w:val="both"/>
        <w:rPr>
          <w:rFonts w:ascii="Times New Roman" w:hAnsi="Times New Roman" w:cs="Times New Roman"/>
          <w:sz w:val="24"/>
          <w:szCs w:val="24"/>
        </w:rPr>
      </w:pPr>
      <w:r w:rsidRPr="00CF6A76">
        <w:rPr>
          <w:rFonts w:ascii="Times New Roman" w:hAnsi="Times New Roman" w:cs="Times New Roman"/>
          <w:sz w:val="24"/>
          <w:szCs w:val="24"/>
        </w:rPr>
        <w:t>Similarly, the financial sector is critical to economic growth and development as it channels resources from areas of surplus to areas of deficit in the economy. Its liquidity role is the most important, with the Central Bank of Nigeria, commercial banks, capital markets, discount houses, insurance companies, asset management companies, and pension houses among the major players. In recent years, the sector has undergone significant reforms to improve its performance, most notably the deregulation of the banking system (</w:t>
      </w:r>
      <w:proofErr w:type="spellStart"/>
      <w:r w:rsidRPr="00CF6A76">
        <w:rPr>
          <w:rFonts w:ascii="Times New Roman" w:hAnsi="Times New Roman" w:cs="Times New Roman"/>
          <w:sz w:val="24"/>
          <w:szCs w:val="24"/>
        </w:rPr>
        <w:t>Akpan</w:t>
      </w:r>
      <w:proofErr w:type="spellEnd"/>
      <w:r w:rsidRPr="00CF6A76">
        <w:rPr>
          <w:rFonts w:ascii="Times New Roman" w:hAnsi="Times New Roman" w:cs="Times New Roman"/>
          <w:sz w:val="24"/>
          <w:szCs w:val="24"/>
        </w:rPr>
        <w:t xml:space="preserve">, </w:t>
      </w:r>
      <w:proofErr w:type="spellStart"/>
      <w:r w:rsidRPr="00CF6A76">
        <w:rPr>
          <w:rFonts w:ascii="Times New Roman" w:hAnsi="Times New Roman" w:cs="Times New Roman"/>
          <w:sz w:val="24"/>
          <w:szCs w:val="24"/>
        </w:rPr>
        <w:t>Nwosu</w:t>
      </w:r>
      <w:proofErr w:type="spellEnd"/>
      <w:r w:rsidRPr="00CF6A76">
        <w:rPr>
          <w:rFonts w:ascii="Times New Roman" w:hAnsi="Times New Roman" w:cs="Times New Roman"/>
          <w:sz w:val="24"/>
          <w:szCs w:val="24"/>
        </w:rPr>
        <w:t xml:space="preserve"> and </w:t>
      </w:r>
      <w:proofErr w:type="spellStart"/>
      <w:r w:rsidRPr="00CF6A76">
        <w:rPr>
          <w:rFonts w:ascii="Times New Roman" w:hAnsi="Times New Roman" w:cs="Times New Roman"/>
          <w:sz w:val="24"/>
          <w:szCs w:val="24"/>
        </w:rPr>
        <w:t>Eweke</w:t>
      </w:r>
      <w:proofErr w:type="spellEnd"/>
      <w:r w:rsidRPr="00CF6A76">
        <w:rPr>
          <w:rFonts w:ascii="Times New Roman" w:hAnsi="Times New Roman" w:cs="Times New Roman"/>
          <w:sz w:val="24"/>
          <w:szCs w:val="24"/>
        </w:rPr>
        <w:t xml:space="preserve">, 2017). According to </w:t>
      </w:r>
      <w:proofErr w:type="spellStart"/>
      <w:r w:rsidRPr="00CF6A76">
        <w:rPr>
          <w:rFonts w:ascii="Times New Roman" w:hAnsi="Times New Roman" w:cs="Times New Roman"/>
          <w:sz w:val="24"/>
          <w:szCs w:val="24"/>
        </w:rPr>
        <w:t>Siregar</w:t>
      </w:r>
      <w:proofErr w:type="spellEnd"/>
      <w:r w:rsidRPr="00CF6A76">
        <w:rPr>
          <w:rFonts w:ascii="Times New Roman" w:hAnsi="Times New Roman" w:cs="Times New Roman"/>
          <w:sz w:val="24"/>
          <w:szCs w:val="24"/>
        </w:rPr>
        <w:t xml:space="preserve"> (2010), there is a link between export credits and export performance because export credit contributes to the export sector's boom and bust. Given this fact, establishing the direction of relationship between export credit and non-oil export performance in Nigeria becomes imperative.</w:t>
      </w:r>
    </w:p>
    <w:p w:rsidR="00890556" w:rsidRPr="00CF6A76" w:rsidRDefault="00890556" w:rsidP="00890556">
      <w:pPr>
        <w:jc w:val="both"/>
        <w:rPr>
          <w:rFonts w:ascii="Times New Roman" w:eastAsia="Times New Roman" w:hAnsi="Times New Roman" w:cs="Times New Roman"/>
          <w:color w:val="000000"/>
          <w:sz w:val="24"/>
          <w:szCs w:val="24"/>
          <w:lang w:eastAsia="en-GB"/>
        </w:rPr>
      </w:pPr>
      <w:r w:rsidRPr="00CF6A76">
        <w:rPr>
          <w:rFonts w:ascii="Times New Roman" w:hAnsi="Times New Roman" w:cs="Times New Roman"/>
          <w:sz w:val="24"/>
          <w:szCs w:val="24"/>
        </w:rPr>
        <w:t xml:space="preserve">In an attempt to stimulate and promote the non-oil export sector trade and its contribution to growth, several financial incentives have been put in place by the government. </w:t>
      </w:r>
      <w:proofErr w:type="spellStart"/>
      <w:r w:rsidRPr="00CF6A76">
        <w:rPr>
          <w:rFonts w:ascii="Times New Roman" w:hAnsi="Times New Roman" w:cs="Times New Roman"/>
          <w:sz w:val="24"/>
          <w:szCs w:val="24"/>
        </w:rPr>
        <w:t>Elechi</w:t>
      </w:r>
      <w:proofErr w:type="spellEnd"/>
      <w:r w:rsidRPr="00CF6A76">
        <w:rPr>
          <w:rFonts w:ascii="Times New Roman" w:hAnsi="Times New Roman" w:cs="Times New Roman"/>
          <w:sz w:val="24"/>
          <w:szCs w:val="24"/>
        </w:rPr>
        <w:t xml:space="preserve">, </w:t>
      </w:r>
      <w:proofErr w:type="spellStart"/>
      <w:r w:rsidRPr="00CF6A76">
        <w:rPr>
          <w:rFonts w:ascii="Times New Roman" w:hAnsi="Times New Roman" w:cs="Times New Roman"/>
          <w:sz w:val="24"/>
          <w:szCs w:val="24"/>
        </w:rPr>
        <w:t>Kasie</w:t>
      </w:r>
      <w:proofErr w:type="spellEnd"/>
      <w:r w:rsidRPr="00CF6A76">
        <w:rPr>
          <w:rFonts w:ascii="Times New Roman" w:hAnsi="Times New Roman" w:cs="Times New Roman"/>
          <w:sz w:val="24"/>
          <w:szCs w:val="24"/>
        </w:rPr>
        <w:t xml:space="preserve">, &amp; </w:t>
      </w:r>
      <w:proofErr w:type="spellStart"/>
      <w:r w:rsidRPr="00CF6A76">
        <w:rPr>
          <w:rFonts w:ascii="Times New Roman" w:hAnsi="Times New Roman" w:cs="Times New Roman"/>
          <w:sz w:val="24"/>
          <w:szCs w:val="24"/>
        </w:rPr>
        <w:t>Chijindu</w:t>
      </w:r>
      <w:proofErr w:type="spellEnd"/>
      <w:r w:rsidRPr="00CF6A76">
        <w:rPr>
          <w:rFonts w:ascii="Times New Roman" w:hAnsi="Times New Roman" w:cs="Times New Roman"/>
          <w:sz w:val="24"/>
          <w:szCs w:val="24"/>
        </w:rPr>
        <w:t xml:space="preserve"> (2016) identified some of the agencies established solely for the promotion of non-oil export to include: Export Development Fund (EDF), Export Expansion Grant Funds Scheme (EEGF), Duty Draw-Back/Suspension and Manufacture in Bond Scheme, Export Adjustment Fund Scheme and Nigeria Export-Import Bank (NEXIM). Also, other institutional bodies established to engage in financing export trade in Nigeria include: Nigeria Export Promotion Council (NEPC), Nigeria Export Processing Free Zone Scheme (NEPFZS) and Nigeria Export Processing Zone Authority (NEPZA). Despite these efforts, Nigeria’s non-oil export sector is greatly handicapped and this may be due to inadequate finance and bank credit. For instance, </w:t>
      </w:r>
      <w:r w:rsidRPr="00CF6A76">
        <w:rPr>
          <w:rFonts w:ascii="Times New Roman" w:eastAsia="Times New Roman" w:hAnsi="Times New Roman" w:cs="Times New Roman"/>
          <w:color w:val="000000"/>
          <w:sz w:val="24"/>
          <w:szCs w:val="24"/>
          <w:lang w:eastAsia="en-GB"/>
        </w:rPr>
        <w:t xml:space="preserve">total bank credit in the Nigerian economy stood at ₦15.7 billion in 1986 out of which ₦0.3 billion was allocated to non-oil export sector. </w:t>
      </w:r>
      <w:r w:rsidRPr="00CF6A76">
        <w:rPr>
          <w:rFonts w:ascii="Times New Roman" w:hAnsi="Times New Roman" w:cs="Times New Roman"/>
          <w:sz w:val="24"/>
          <w:szCs w:val="24"/>
        </w:rPr>
        <w:t xml:space="preserve">For three decades, </w:t>
      </w:r>
      <w:r w:rsidRPr="00CF6A76">
        <w:rPr>
          <w:rFonts w:ascii="Times New Roman" w:eastAsia="Times New Roman" w:hAnsi="Times New Roman" w:cs="Times New Roman"/>
          <w:color w:val="000000"/>
          <w:sz w:val="24"/>
          <w:szCs w:val="24"/>
          <w:lang w:eastAsia="en-GB"/>
        </w:rPr>
        <w:t>total bank credit to the Nigerian economy maintained an increasing trend of ₦</w:t>
      </w:r>
      <w:r w:rsidR="000D2D4D">
        <w:rPr>
          <w:rFonts w:ascii="Times New Roman" w:eastAsia="Times New Roman" w:hAnsi="Times New Roman" w:cs="Times New Roman"/>
          <w:color w:val="000000"/>
          <w:sz w:val="24"/>
          <w:szCs w:val="24"/>
          <w:lang w:eastAsia="en-GB"/>
        </w:rPr>
        <w:t>796.2</w:t>
      </w:r>
      <w:r w:rsidRPr="00CF6A76">
        <w:rPr>
          <w:rFonts w:ascii="Times New Roman" w:eastAsia="Times New Roman" w:hAnsi="Times New Roman" w:cs="Times New Roman"/>
          <w:color w:val="000000"/>
          <w:sz w:val="24"/>
          <w:szCs w:val="24"/>
          <w:lang w:eastAsia="en-GB"/>
        </w:rPr>
        <w:t xml:space="preserve"> billion, ₦</w:t>
      </w:r>
      <w:r w:rsidR="000D2D4D">
        <w:rPr>
          <w:rFonts w:ascii="Times New Roman" w:eastAsia="Times New Roman" w:hAnsi="Times New Roman" w:cs="Times New Roman"/>
          <w:color w:val="000000"/>
          <w:sz w:val="24"/>
          <w:szCs w:val="24"/>
          <w:lang w:eastAsia="en-GB"/>
        </w:rPr>
        <w:t>7</w:t>
      </w:r>
      <w:r w:rsidRPr="00CF6A76">
        <w:rPr>
          <w:rFonts w:ascii="Times New Roman" w:eastAsia="Times New Roman" w:hAnsi="Times New Roman" w:cs="Times New Roman"/>
          <w:color w:val="000000"/>
          <w:sz w:val="24"/>
          <w:szCs w:val="24"/>
          <w:lang w:eastAsia="en-GB"/>
        </w:rPr>
        <w:t>,</w:t>
      </w:r>
      <w:r w:rsidR="000D2D4D">
        <w:rPr>
          <w:rFonts w:ascii="Times New Roman" w:eastAsia="Times New Roman" w:hAnsi="Times New Roman" w:cs="Times New Roman"/>
          <w:color w:val="000000"/>
          <w:sz w:val="24"/>
          <w:szCs w:val="24"/>
          <w:lang w:eastAsia="en-GB"/>
        </w:rPr>
        <w:t>312.7 billion and ₦24</w:t>
      </w:r>
      <w:r w:rsidRPr="00CF6A76">
        <w:rPr>
          <w:rFonts w:ascii="Times New Roman" w:eastAsia="Times New Roman" w:hAnsi="Times New Roman" w:cs="Times New Roman"/>
          <w:color w:val="000000"/>
          <w:sz w:val="24"/>
          <w:szCs w:val="24"/>
          <w:lang w:eastAsia="en-GB"/>
        </w:rPr>
        <w:t>,</w:t>
      </w:r>
      <w:r w:rsidR="000D2D4D">
        <w:rPr>
          <w:rFonts w:ascii="Times New Roman" w:eastAsia="Times New Roman" w:hAnsi="Times New Roman" w:cs="Times New Roman"/>
          <w:color w:val="000000"/>
          <w:sz w:val="24"/>
          <w:szCs w:val="24"/>
          <w:lang w:eastAsia="en-GB"/>
        </w:rPr>
        <w:t>378.2</w:t>
      </w:r>
      <w:r w:rsidRPr="00CF6A76">
        <w:rPr>
          <w:rFonts w:ascii="Times New Roman" w:eastAsia="Times New Roman" w:hAnsi="Times New Roman" w:cs="Times New Roman"/>
          <w:color w:val="000000"/>
          <w:sz w:val="24"/>
          <w:szCs w:val="24"/>
          <w:lang w:eastAsia="en-GB"/>
        </w:rPr>
        <w:t xml:space="preserve"> billion in </w:t>
      </w:r>
      <w:r w:rsidR="000D2D4D">
        <w:rPr>
          <w:rFonts w:ascii="Times New Roman" w:eastAsia="Times New Roman" w:hAnsi="Times New Roman" w:cs="Times New Roman"/>
          <w:color w:val="000000"/>
          <w:sz w:val="24"/>
          <w:szCs w:val="24"/>
          <w:lang w:eastAsia="en-GB"/>
        </w:rPr>
        <w:t>2001</w:t>
      </w:r>
      <w:r w:rsidRPr="00CF6A76">
        <w:rPr>
          <w:rFonts w:ascii="Times New Roman" w:eastAsia="Times New Roman" w:hAnsi="Times New Roman" w:cs="Times New Roman"/>
          <w:color w:val="000000"/>
          <w:sz w:val="24"/>
          <w:szCs w:val="24"/>
          <w:lang w:eastAsia="en-GB"/>
        </w:rPr>
        <w:t>, 20</w:t>
      </w:r>
      <w:r w:rsidR="000D2D4D">
        <w:rPr>
          <w:rFonts w:ascii="Times New Roman" w:eastAsia="Times New Roman" w:hAnsi="Times New Roman" w:cs="Times New Roman"/>
          <w:color w:val="000000"/>
          <w:sz w:val="24"/>
          <w:szCs w:val="24"/>
          <w:lang w:eastAsia="en-GB"/>
        </w:rPr>
        <w:t>11</w:t>
      </w:r>
      <w:r w:rsidRPr="00CF6A76">
        <w:rPr>
          <w:rFonts w:ascii="Times New Roman" w:eastAsia="Times New Roman" w:hAnsi="Times New Roman" w:cs="Times New Roman"/>
          <w:color w:val="000000"/>
          <w:sz w:val="24"/>
          <w:szCs w:val="24"/>
          <w:lang w:eastAsia="en-GB"/>
        </w:rPr>
        <w:t xml:space="preserve"> and 20</w:t>
      </w:r>
      <w:r w:rsidR="000D2D4D">
        <w:rPr>
          <w:rFonts w:ascii="Times New Roman" w:eastAsia="Times New Roman" w:hAnsi="Times New Roman" w:cs="Times New Roman"/>
          <w:color w:val="000000"/>
          <w:sz w:val="24"/>
          <w:szCs w:val="24"/>
          <w:lang w:eastAsia="en-GB"/>
        </w:rPr>
        <w:t>21</w:t>
      </w:r>
      <w:r w:rsidRPr="00CF6A76">
        <w:rPr>
          <w:rFonts w:ascii="Times New Roman" w:eastAsia="Times New Roman" w:hAnsi="Times New Roman" w:cs="Times New Roman"/>
          <w:color w:val="000000"/>
          <w:sz w:val="24"/>
          <w:szCs w:val="24"/>
          <w:lang w:eastAsia="en-GB"/>
        </w:rPr>
        <w:t xml:space="preserve">, respectively. However, total bank credit to the Nigerian non-oil export sector </w:t>
      </w:r>
      <w:r w:rsidR="00176416">
        <w:rPr>
          <w:rFonts w:ascii="Times New Roman" w:eastAsia="Times New Roman" w:hAnsi="Times New Roman" w:cs="Times New Roman"/>
          <w:color w:val="000000"/>
          <w:sz w:val="24"/>
          <w:szCs w:val="24"/>
          <w:lang w:eastAsia="en-GB"/>
        </w:rPr>
        <w:t>has been declining recording ₦34.5</w:t>
      </w:r>
      <w:r w:rsidRPr="00CF6A76">
        <w:rPr>
          <w:rFonts w:ascii="Times New Roman" w:eastAsia="Times New Roman" w:hAnsi="Times New Roman" w:cs="Times New Roman"/>
          <w:color w:val="000000"/>
          <w:sz w:val="24"/>
          <w:szCs w:val="24"/>
          <w:lang w:eastAsia="en-GB"/>
        </w:rPr>
        <w:t xml:space="preserve"> billion,</w:t>
      </w:r>
      <w:r w:rsidRPr="00CF6A76">
        <w:rPr>
          <w:rFonts w:ascii="Times New Roman" w:eastAsia="Times New Roman" w:hAnsi="Times New Roman" w:cs="Times New Roman"/>
          <w:sz w:val="24"/>
          <w:szCs w:val="24"/>
          <w:lang w:eastAsia="en-GB"/>
        </w:rPr>
        <w:t xml:space="preserve"> </w:t>
      </w:r>
      <w:r w:rsidRPr="00CF6A76">
        <w:rPr>
          <w:rFonts w:ascii="Times New Roman" w:eastAsia="Times New Roman" w:hAnsi="Times New Roman" w:cs="Times New Roman"/>
          <w:color w:val="000000"/>
          <w:sz w:val="24"/>
          <w:szCs w:val="24"/>
          <w:lang w:eastAsia="en-GB"/>
        </w:rPr>
        <w:t>₦</w:t>
      </w:r>
      <w:r w:rsidR="00176416">
        <w:rPr>
          <w:rFonts w:ascii="Times New Roman" w:eastAsia="Times New Roman" w:hAnsi="Times New Roman" w:cs="Times New Roman"/>
          <w:sz w:val="24"/>
          <w:szCs w:val="24"/>
          <w:lang w:eastAsia="en-GB"/>
        </w:rPr>
        <w:t>36.2</w:t>
      </w:r>
      <w:r w:rsidRPr="00CF6A76">
        <w:rPr>
          <w:rFonts w:ascii="Times New Roman" w:eastAsia="Times New Roman" w:hAnsi="Times New Roman" w:cs="Times New Roman"/>
          <w:sz w:val="24"/>
          <w:szCs w:val="24"/>
          <w:lang w:eastAsia="en-GB"/>
        </w:rPr>
        <w:t xml:space="preserve"> billion and </w:t>
      </w:r>
      <w:r w:rsidRPr="00176416">
        <w:rPr>
          <w:rFonts w:ascii="Times New Roman" w:eastAsia="Times New Roman" w:hAnsi="Times New Roman" w:cs="Times New Roman"/>
          <w:color w:val="000000"/>
          <w:sz w:val="24"/>
          <w:szCs w:val="24"/>
          <w:lang w:eastAsia="en-GB"/>
        </w:rPr>
        <w:t>₦1,</w:t>
      </w:r>
      <w:r w:rsidR="00176416" w:rsidRPr="00176416">
        <w:rPr>
          <w:rFonts w:ascii="Times New Roman" w:eastAsia="Times New Roman" w:hAnsi="Times New Roman" w:cs="Times New Roman"/>
          <w:color w:val="000000"/>
          <w:sz w:val="24"/>
          <w:szCs w:val="24"/>
          <w:lang w:eastAsia="en-GB"/>
        </w:rPr>
        <w:t>708.4</w:t>
      </w:r>
      <w:r w:rsidRPr="00176416">
        <w:rPr>
          <w:rFonts w:ascii="Times New Roman" w:eastAsia="Times New Roman" w:hAnsi="Times New Roman" w:cs="Times New Roman"/>
          <w:color w:val="000000"/>
          <w:sz w:val="24"/>
          <w:szCs w:val="24"/>
          <w:lang w:eastAsia="en-GB"/>
        </w:rPr>
        <w:t xml:space="preserve"> billion</w:t>
      </w:r>
      <w:r w:rsidRPr="00CF6A76">
        <w:rPr>
          <w:rFonts w:ascii="Times New Roman" w:eastAsia="Times New Roman" w:hAnsi="Times New Roman" w:cs="Times New Roman"/>
          <w:color w:val="000000"/>
          <w:sz w:val="24"/>
          <w:szCs w:val="24"/>
          <w:lang w:eastAsia="en-GB"/>
        </w:rPr>
        <w:t xml:space="preserve"> (accounting for </w:t>
      </w:r>
      <w:r w:rsidR="005317C9">
        <w:rPr>
          <w:rFonts w:ascii="Times New Roman" w:eastAsia="Times New Roman" w:hAnsi="Times New Roman" w:cs="Times New Roman"/>
          <w:color w:val="000000"/>
          <w:sz w:val="24"/>
          <w:szCs w:val="24"/>
          <w:lang w:eastAsia="en-GB"/>
        </w:rPr>
        <w:t>4.3</w:t>
      </w:r>
      <w:r w:rsidRPr="00CF6A76">
        <w:rPr>
          <w:rFonts w:ascii="Times New Roman" w:eastAsia="Times New Roman" w:hAnsi="Times New Roman" w:cs="Times New Roman"/>
          <w:color w:val="000000"/>
          <w:sz w:val="24"/>
          <w:szCs w:val="24"/>
          <w:lang w:eastAsia="en-GB"/>
        </w:rPr>
        <w:t xml:space="preserve">%, </w:t>
      </w:r>
      <w:r w:rsidR="005317C9">
        <w:rPr>
          <w:rFonts w:ascii="Times New Roman" w:eastAsia="Times New Roman" w:hAnsi="Times New Roman" w:cs="Times New Roman"/>
          <w:color w:val="000000"/>
          <w:sz w:val="24"/>
          <w:szCs w:val="24"/>
          <w:lang w:eastAsia="en-GB"/>
        </w:rPr>
        <w:lastRenderedPageBreak/>
        <w:t>0.49</w:t>
      </w:r>
      <w:r w:rsidRPr="00CF6A76">
        <w:rPr>
          <w:rFonts w:ascii="Times New Roman" w:eastAsia="Times New Roman" w:hAnsi="Times New Roman" w:cs="Times New Roman"/>
          <w:color w:val="000000"/>
          <w:sz w:val="24"/>
          <w:szCs w:val="24"/>
          <w:lang w:eastAsia="en-GB"/>
        </w:rPr>
        <w:t>% and 7</w:t>
      </w:r>
      <w:r w:rsidR="005317C9">
        <w:rPr>
          <w:rFonts w:ascii="Times New Roman" w:eastAsia="Times New Roman" w:hAnsi="Times New Roman" w:cs="Times New Roman"/>
          <w:color w:val="000000"/>
          <w:sz w:val="24"/>
          <w:szCs w:val="24"/>
          <w:lang w:eastAsia="en-GB"/>
        </w:rPr>
        <w:t>.01</w:t>
      </w:r>
      <w:r w:rsidRPr="00CF6A76">
        <w:rPr>
          <w:rFonts w:ascii="Times New Roman" w:eastAsia="Times New Roman" w:hAnsi="Times New Roman" w:cs="Times New Roman"/>
          <w:color w:val="000000"/>
          <w:sz w:val="24"/>
          <w:szCs w:val="24"/>
          <w:lang w:eastAsia="en-GB"/>
        </w:rPr>
        <w:t xml:space="preserve">% of total bank credit to the Nigerian economy) in </w:t>
      </w:r>
      <w:r w:rsidR="005317C9">
        <w:rPr>
          <w:rFonts w:ascii="Times New Roman" w:eastAsia="Times New Roman" w:hAnsi="Times New Roman" w:cs="Times New Roman"/>
          <w:color w:val="000000"/>
          <w:sz w:val="24"/>
          <w:szCs w:val="24"/>
          <w:lang w:eastAsia="en-GB"/>
        </w:rPr>
        <w:t>2001</w:t>
      </w:r>
      <w:r w:rsidRPr="00CF6A76">
        <w:rPr>
          <w:rFonts w:ascii="Times New Roman" w:eastAsia="Times New Roman" w:hAnsi="Times New Roman" w:cs="Times New Roman"/>
          <w:color w:val="000000"/>
          <w:sz w:val="24"/>
          <w:szCs w:val="24"/>
          <w:lang w:eastAsia="en-GB"/>
        </w:rPr>
        <w:t>, 20</w:t>
      </w:r>
      <w:r w:rsidR="005317C9">
        <w:rPr>
          <w:rFonts w:ascii="Times New Roman" w:eastAsia="Times New Roman" w:hAnsi="Times New Roman" w:cs="Times New Roman"/>
          <w:color w:val="000000"/>
          <w:sz w:val="24"/>
          <w:szCs w:val="24"/>
          <w:lang w:eastAsia="en-GB"/>
        </w:rPr>
        <w:t>11</w:t>
      </w:r>
      <w:r w:rsidRPr="00CF6A76">
        <w:rPr>
          <w:rFonts w:ascii="Times New Roman" w:eastAsia="Times New Roman" w:hAnsi="Times New Roman" w:cs="Times New Roman"/>
          <w:color w:val="000000"/>
          <w:sz w:val="24"/>
          <w:szCs w:val="24"/>
          <w:lang w:eastAsia="en-GB"/>
        </w:rPr>
        <w:t xml:space="preserve"> and </w:t>
      </w:r>
      <w:r w:rsidRPr="005317C9">
        <w:rPr>
          <w:rFonts w:ascii="Times New Roman" w:eastAsia="Times New Roman" w:hAnsi="Times New Roman" w:cs="Times New Roman"/>
          <w:color w:val="000000"/>
          <w:sz w:val="24"/>
          <w:szCs w:val="24"/>
          <w:lang w:eastAsia="en-GB"/>
        </w:rPr>
        <w:t>20</w:t>
      </w:r>
      <w:r w:rsidR="005317C9" w:rsidRPr="005317C9">
        <w:rPr>
          <w:rFonts w:ascii="Times New Roman" w:eastAsia="Times New Roman" w:hAnsi="Times New Roman" w:cs="Times New Roman"/>
          <w:color w:val="000000"/>
          <w:sz w:val="24"/>
          <w:szCs w:val="24"/>
          <w:lang w:eastAsia="en-GB"/>
        </w:rPr>
        <w:t>21</w:t>
      </w:r>
      <w:r w:rsidRPr="005317C9">
        <w:rPr>
          <w:rFonts w:ascii="Times New Roman" w:eastAsia="Times New Roman" w:hAnsi="Times New Roman" w:cs="Times New Roman"/>
          <w:color w:val="000000"/>
          <w:sz w:val="24"/>
          <w:szCs w:val="24"/>
          <w:lang w:eastAsia="en-GB"/>
        </w:rPr>
        <w:t>,</w:t>
      </w:r>
      <w:r w:rsidRPr="00CF6A76">
        <w:rPr>
          <w:rFonts w:ascii="Times New Roman" w:eastAsia="Times New Roman" w:hAnsi="Times New Roman" w:cs="Times New Roman"/>
          <w:color w:val="000000"/>
          <w:sz w:val="24"/>
          <w:szCs w:val="24"/>
          <w:lang w:eastAsia="en-GB"/>
        </w:rPr>
        <w:t xml:space="preserve"> respectively.</w:t>
      </w:r>
    </w:p>
    <w:p w:rsidR="00890556" w:rsidRPr="00CF6A76" w:rsidRDefault="00D13A54" w:rsidP="009B2A77">
      <w:pPr>
        <w:tabs>
          <w:tab w:val="left" w:pos="7797"/>
        </w:tabs>
        <w:autoSpaceDE w:val="0"/>
        <w:autoSpaceDN w:val="0"/>
        <w:adjustRightInd w:val="0"/>
        <w:spacing w:after="0"/>
        <w:jc w:val="both"/>
        <w:rPr>
          <w:rFonts w:ascii="Times New Roman" w:hAnsi="Times New Roman" w:cs="Times New Roman"/>
          <w:sz w:val="24"/>
          <w:szCs w:val="24"/>
        </w:rPr>
      </w:pPr>
      <w:proofErr w:type="spellStart"/>
      <w:r w:rsidRPr="00CF6A76">
        <w:rPr>
          <w:rFonts w:ascii="Times New Roman" w:hAnsi="Times New Roman" w:cs="Times New Roman"/>
          <w:sz w:val="24"/>
          <w:szCs w:val="24"/>
        </w:rPr>
        <w:t>Ningi</w:t>
      </w:r>
      <w:proofErr w:type="spellEnd"/>
      <w:r w:rsidRPr="00CF6A76">
        <w:rPr>
          <w:rFonts w:ascii="Times New Roman" w:hAnsi="Times New Roman" w:cs="Times New Roman"/>
          <w:sz w:val="24"/>
          <w:szCs w:val="24"/>
        </w:rPr>
        <w:t xml:space="preserve"> and</w:t>
      </w:r>
      <w:r w:rsidR="00890556" w:rsidRPr="00CF6A76">
        <w:rPr>
          <w:rFonts w:ascii="Times New Roman" w:hAnsi="Times New Roman" w:cs="Times New Roman"/>
          <w:sz w:val="24"/>
          <w:szCs w:val="24"/>
        </w:rPr>
        <w:t xml:space="preserve"> </w:t>
      </w:r>
      <w:proofErr w:type="spellStart"/>
      <w:r w:rsidR="00890556" w:rsidRPr="00CF6A76">
        <w:rPr>
          <w:rFonts w:ascii="Times New Roman" w:hAnsi="Times New Roman" w:cs="Times New Roman"/>
          <w:sz w:val="24"/>
          <w:szCs w:val="24"/>
        </w:rPr>
        <w:t>Dutse</w:t>
      </w:r>
      <w:proofErr w:type="spellEnd"/>
      <w:r w:rsidR="00890556" w:rsidRPr="00CF6A76">
        <w:rPr>
          <w:rFonts w:ascii="Times New Roman" w:hAnsi="Times New Roman" w:cs="Times New Roman"/>
          <w:sz w:val="24"/>
          <w:szCs w:val="24"/>
        </w:rPr>
        <w:t xml:space="preserve"> (2013) emphasized that interest rate for credit extended to non-oil export is usually high, as it ranges between 15-20%. Consequently, access to finance becomes problematic to non-oil sector exporters while the growth of the sector and its contribution to nation’s growth is suppressed. Low financing of non-oil export sector is associated with little disbursement in terms of the volume of credits and inability of non-oil exporters in providing collateral that match the loan to be granted significantly contribute to dwindling growth of non-oil exports in Nige</w:t>
      </w:r>
      <w:r w:rsidR="00B87B0F">
        <w:rPr>
          <w:rFonts w:ascii="Times New Roman" w:hAnsi="Times New Roman" w:cs="Times New Roman"/>
          <w:sz w:val="24"/>
          <w:szCs w:val="24"/>
        </w:rPr>
        <w:t>ria (</w:t>
      </w:r>
      <w:proofErr w:type="spellStart"/>
      <w:r w:rsidR="00B87B0F">
        <w:rPr>
          <w:rFonts w:ascii="Times New Roman" w:hAnsi="Times New Roman" w:cs="Times New Roman"/>
          <w:sz w:val="24"/>
          <w:szCs w:val="24"/>
        </w:rPr>
        <w:t>Ijaiya</w:t>
      </w:r>
      <w:proofErr w:type="spellEnd"/>
      <w:r w:rsidR="00B87B0F">
        <w:rPr>
          <w:rFonts w:ascii="Times New Roman" w:hAnsi="Times New Roman" w:cs="Times New Roman"/>
          <w:sz w:val="24"/>
          <w:szCs w:val="24"/>
        </w:rPr>
        <w:t xml:space="preserve">, 2003; </w:t>
      </w:r>
      <w:proofErr w:type="spellStart"/>
      <w:r w:rsidR="00B87B0F">
        <w:rPr>
          <w:rFonts w:ascii="Times New Roman" w:hAnsi="Times New Roman" w:cs="Times New Roman"/>
          <w:sz w:val="24"/>
          <w:szCs w:val="24"/>
        </w:rPr>
        <w:t>Auboin</w:t>
      </w:r>
      <w:proofErr w:type="spellEnd"/>
      <w:r w:rsidR="00B87B0F">
        <w:rPr>
          <w:rFonts w:ascii="Times New Roman" w:hAnsi="Times New Roman" w:cs="Times New Roman"/>
          <w:sz w:val="24"/>
          <w:szCs w:val="24"/>
        </w:rPr>
        <w:t>, 2007</w:t>
      </w:r>
      <w:r w:rsidR="00890556" w:rsidRPr="00CF6A76">
        <w:rPr>
          <w:rFonts w:ascii="Times New Roman" w:hAnsi="Times New Roman" w:cs="Times New Roman"/>
          <w:sz w:val="24"/>
          <w:szCs w:val="24"/>
        </w:rPr>
        <w:t xml:space="preserve">). Also, </w:t>
      </w:r>
      <w:proofErr w:type="spellStart"/>
      <w:r w:rsidR="00890556" w:rsidRPr="00CF6A76">
        <w:rPr>
          <w:rFonts w:ascii="Times New Roman" w:hAnsi="Times New Roman" w:cs="Times New Roman"/>
          <w:sz w:val="24"/>
          <w:szCs w:val="24"/>
        </w:rPr>
        <w:t>Odularu</w:t>
      </w:r>
      <w:proofErr w:type="spellEnd"/>
      <w:r w:rsidR="00890556" w:rsidRPr="00CF6A76">
        <w:rPr>
          <w:rFonts w:ascii="Times New Roman" w:hAnsi="Times New Roman" w:cs="Times New Roman"/>
          <w:sz w:val="24"/>
          <w:szCs w:val="24"/>
        </w:rPr>
        <w:t xml:space="preserve"> (2013) observed that unwillingness of banks to advance credit to non-oil export sector as it is considered very risky for investment despite directives from Nigeria Export Promotion Council (NEPC). Lastly, high volatility in exchange rates in the country has also been a serious challenge to non-oil exports as it induces uncertainty and create significant disincentive towards financing non-o</w:t>
      </w:r>
      <w:r w:rsidRPr="00CF6A76">
        <w:rPr>
          <w:rFonts w:ascii="Times New Roman" w:hAnsi="Times New Roman" w:cs="Times New Roman"/>
          <w:sz w:val="24"/>
          <w:szCs w:val="24"/>
        </w:rPr>
        <w:t>il export in Nigeria (</w:t>
      </w:r>
      <w:proofErr w:type="spellStart"/>
      <w:r w:rsidRPr="00CF6A76">
        <w:rPr>
          <w:rFonts w:ascii="Times New Roman" w:hAnsi="Times New Roman" w:cs="Times New Roman"/>
          <w:sz w:val="24"/>
          <w:szCs w:val="24"/>
        </w:rPr>
        <w:t>Emerole</w:t>
      </w:r>
      <w:proofErr w:type="spellEnd"/>
      <w:r w:rsidRPr="00CF6A76">
        <w:rPr>
          <w:rFonts w:ascii="Times New Roman" w:hAnsi="Times New Roman" w:cs="Times New Roman"/>
          <w:sz w:val="24"/>
          <w:szCs w:val="24"/>
        </w:rPr>
        <w:t xml:space="preserve"> and</w:t>
      </w:r>
      <w:r w:rsidR="00890556" w:rsidRPr="00CF6A76">
        <w:rPr>
          <w:rFonts w:ascii="Times New Roman" w:hAnsi="Times New Roman" w:cs="Times New Roman"/>
          <w:sz w:val="24"/>
          <w:szCs w:val="24"/>
        </w:rPr>
        <w:t xml:space="preserve"> </w:t>
      </w:r>
      <w:proofErr w:type="spellStart"/>
      <w:r w:rsidR="00890556" w:rsidRPr="00CF6A76">
        <w:rPr>
          <w:rFonts w:ascii="Times New Roman" w:hAnsi="Times New Roman" w:cs="Times New Roman"/>
          <w:sz w:val="24"/>
          <w:szCs w:val="24"/>
        </w:rPr>
        <w:t>Edeoga</w:t>
      </w:r>
      <w:proofErr w:type="spellEnd"/>
      <w:r w:rsidR="00890556" w:rsidRPr="00CF6A76">
        <w:rPr>
          <w:rFonts w:ascii="Times New Roman" w:hAnsi="Times New Roman" w:cs="Times New Roman"/>
          <w:sz w:val="24"/>
          <w:szCs w:val="24"/>
        </w:rPr>
        <w:t xml:space="preserve"> (2013). In the </w:t>
      </w:r>
      <w:r w:rsidRPr="00CF6A76">
        <w:rPr>
          <w:rFonts w:ascii="Times New Roman" w:hAnsi="Times New Roman" w:cs="Times New Roman"/>
          <w:sz w:val="24"/>
          <w:szCs w:val="24"/>
        </w:rPr>
        <w:t xml:space="preserve">economic literature, </w:t>
      </w:r>
      <w:proofErr w:type="spellStart"/>
      <w:r w:rsidRPr="00CF6A76">
        <w:rPr>
          <w:rFonts w:ascii="Times New Roman" w:hAnsi="Times New Roman" w:cs="Times New Roman"/>
          <w:sz w:val="24"/>
          <w:szCs w:val="24"/>
        </w:rPr>
        <w:t>Chukuigwe</w:t>
      </w:r>
      <w:proofErr w:type="spellEnd"/>
      <w:r w:rsidRPr="00CF6A76">
        <w:rPr>
          <w:rFonts w:ascii="Times New Roman" w:hAnsi="Times New Roman" w:cs="Times New Roman"/>
          <w:sz w:val="24"/>
          <w:szCs w:val="24"/>
        </w:rPr>
        <w:t xml:space="preserve"> and</w:t>
      </w:r>
      <w:r w:rsidR="00890556" w:rsidRPr="00CF6A76">
        <w:rPr>
          <w:rFonts w:ascii="Times New Roman" w:hAnsi="Times New Roman" w:cs="Times New Roman"/>
          <w:sz w:val="24"/>
          <w:szCs w:val="24"/>
        </w:rPr>
        <w:t xml:space="preserve"> </w:t>
      </w:r>
      <w:proofErr w:type="spellStart"/>
      <w:r w:rsidR="00890556" w:rsidRPr="00CF6A76">
        <w:rPr>
          <w:rFonts w:ascii="Times New Roman" w:hAnsi="Times New Roman" w:cs="Times New Roman"/>
          <w:sz w:val="24"/>
          <w:szCs w:val="24"/>
        </w:rPr>
        <w:t>Abili</w:t>
      </w:r>
      <w:proofErr w:type="spellEnd"/>
      <w:r w:rsidR="00890556" w:rsidRPr="00CF6A76">
        <w:rPr>
          <w:rFonts w:ascii="Times New Roman" w:hAnsi="Times New Roman" w:cs="Times New Roman"/>
          <w:sz w:val="24"/>
          <w:szCs w:val="24"/>
        </w:rPr>
        <w:t xml:space="preserve"> (2008) argued that high foreign exchange would lead to high cost of raw materials, spare parts, etc. and thus contract the export supply in the economy.</w:t>
      </w:r>
      <w:r w:rsidR="009B2A77">
        <w:rPr>
          <w:rFonts w:ascii="Times New Roman" w:hAnsi="Times New Roman" w:cs="Times New Roman"/>
          <w:sz w:val="24"/>
          <w:szCs w:val="24"/>
        </w:rPr>
        <w:t xml:space="preserve"> </w:t>
      </w:r>
      <w:r w:rsidR="00890556" w:rsidRPr="00CF6A76">
        <w:rPr>
          <w:rFonts w:ascii="Times New Roman" w:hAnsi="Times New Roman" w:cs="Times New Roman"/>
          <w:sz w:val="24"/>
          <w:szCs w:val="24"/>
        </w:rPr>
        <w:t>Against the above background, this study seeks to provide answers to the following research questions: (</w:t>
      </w:r>
      <w:proofErr w:type="spellStart"/>
      <w:r w:rsidR="00890556" w:rsidRPr="00CF6A76">
        <w:rPr>
          <w:rFonts w:ascii="Times New Roman" w:hAnsi="Times New Roman" w:cs="Times New Roman"/>
          <w:sz w:val="24"/>
          <w:szCs w:val="24"/>
        </w:rPr>
        <w:t>i</w:t>
      </w:r>
      <w:proofErr w:type="spellEnd"/>
      <w:r w:rsidR="00890556" w:rsidRPr="00CF6A76">
        <w:rPr>
          <w:rFonts w:ascii="Times New Roman" w:hAnsi="Times New Roman" w:cs="Times New Roman"/>
          <w:sz w:val="24"/>
          <w:szCs w:val="24"/>
        </w:rPr>
        <w:t xml:space="preserve">) what impact do commercial banks’ export credit have on Nigeria’s non-oil exports performance? (ii) </w:t>
      </w:r>
      <w:proofErr w:type="gramStart"/>
      <w:r w:rsidR="00890556" w:rsidRPr="00CF6A76">
        <w:rPr>
          <w:rFonts w:ascii="Times New Roman" w:hAnsi="Times New Roman" w:cs="Times New Roman"/>
          <w:sz w:val="24"/>
          <w:szCs w:val="24"/>
        </w:rPr>
        <w:t>what</w:t>
      </w:r>
      <w:proofErr w:type="gramEnd"/>
      <w:r w:rsidR="00890556" w:rsidRPr="00CF6A76">
        <w:rPr>
          <w:rFonts w:ascii="Times New Roman" w:hAnsi="Times New Roman" w:cs="Times New Roman"/>
          <w:sz w:val="24"/>
          <w:szCs w:val="24"/>
        </w:rPr>
        <w:t xml:space="preserve"> is the direction of causal relationship between banks export credit and non-oil export performance in Nigeria?</w:t>
      </w:r>
    </w:p>
    <w:p w:rsidR="009B2A77" w:rsidRPr="009B2A77" w:rsidRDefault="009B2A77" w:rsidP="009B2A77">
      <w:pPr>
        <w:spacing w:before="240"/>
        <w:jc w:val="both"/>
        <w:rPr>
          <w:rFonts w:ascii="Times New Roman" w:hAnsi="Times New Roman" w:cs="Times New Roman"/>
          <w:sz w:val="24"/>
          <w:szCs w:val="24"/>
        </w:rPr>
      </w:pPr>
      <w:bookmarkStart w:id="7" w:name="_Toc115647113"/>
      <w:r w:rsidRPr="00F461E2">
        <w:rPr>
          <w:rFonts w:ascii="Times New Roman" w:hAnsi="Times New Roman" w:cs="Times New Roman"/>
          <w:sz w:val="24"/>
          <w:szCs w:val="24"/>
        </w:rPr>
        <w:t>After the foregoing introductory section</w:t>
      </w:r>
      <w:r>
        <w:rPr>
          <w:rFonts w:ascii="Times New Roman" w:hAnsi="Times New Roman" w:cs="Times New Roman"/>
          <w:sz w:val="24"/>
          <w:szCs w:val="24"/>
        </w:rPr>
        <w:t>,</w:t>
      </w:r>
      <w:r w:rsidRPr="00F461E2">
        <w:rPr>
          <w:rFonts w:ascii="Times New Roman" w:hAnsi="Times New Roman" w:cs="Times New Roman"/>
          <w:sz w:val="24"/>
          <w:szCs w:val="24"/>
        </w:rPr>
        <w:t xml:space="preserve"> section 2 </w:t>
      </w:r>
      <w:r>
        <w:rPr>
          <w:rFonts w:ascii="Times New Roman" w:hAnsi="Times New Roman" w:cs="Times New Roman"/>
          <w:sz w:val="24"/>
          <w:szCs w:val="24"/>
        </w:rPr>
        <w:t xml:space="preserve">presents a literature review, and </w:t>
      </w:r>
      <w:r w:rsidR="00EC4630">
        <w:rPr>
          <w:rFonts w:ascii="Times New Roman" w:hAnsi="Times New Roman" w:cs="Times New Roman"/>
          <w:sz w:val="24"/>
          <w:szCs w:val="24"/>
        </w:rPr>
        <w:t>section 3</w:t>
      </w:r>
      <w:r w:rsidRPr="00F461E2">
        <w:rPr>
          <w:rFonts w:ascii="Times New Roman" w:hAnsi="Times New Roman" w:cs="Times New Roman"/>
          <w:sz w:val="24"/>
          <w:szCs w:val="24"/>
        </w:rPr>
        <w:t xml:space="preserve"> focuses on </w:t>
      </w:r>
      <w:r w:rsidR="00EC4630">
        <w:rPr>
          <w:rFonts w:ascii="Times New Roman" w:hAnsi="Times New Roman" w:cs="Times New Roman"/>
          <w:sz w:val="24"/>
          <w:szCs w:val="24"/>
        </w:rPr>
        <w:t>methodological</w:t>
      </w:r>
      <w:r w:rsidR="00E370BC">
        <w:rPr>
          <w:rFonts w:ascii="Times New Roman" w:hAnsi="Times New Roman" w:cs="Times New Roman"/>
          <w:sz w:val="24"/>
          <w:szCs w:val="24"/>
        </w:rPr>
        <w:t xml:space="preserve"> and estimation techniques</w:t>
      </w:r>
      <w:r>
        <w:rPr>
          <w:rFonts w:ascii="Times New Roman" w:hAnsi="Times New Roman" w:cs="Times New Roman"/>
          <w:sz w:val="24"/>
          <w:szCs w:val="24"/>
        </w:rPr>
        <w:t xml:space="preserve">. Section </w:t>
      </w:r>
      <w:r w:rsidR="00EC4630">
        <w:rPr>
          <w:rFonts w:ascii="Times New Roman" w:hAnsi="Times New Roman" w:cs="Times New Roman"/>
          <w:sz w:val="24"/>
          <w:szCs w:val="24"/>
        </w:rPr>
        <w:t>4</w:t>
      </w:r>
      <w:r w:rsidRPr="00F461E2">
        <w:rPr>
          <w:rFonts w:ascii="Times New Roman" w:hAnsi="Times New Roman" w:cs="Times New Roman"/>
          <w:sz w:val="24"/>
          <w:szCs w:val="24"/>
        </w:rPr>
        <w:t xml:space="preserve"> present</w:t>
      </w:r>
      <w:r>
        <w:rPr>
          <w:rFonts w:ascii="Times New Roman" w:hAnsi="Times New Roman" w:cs="Times New Roman"/>
          <w:sz w:val="24"/>
          <w:szCs w:val="24"/>
        </w:rPr>
        <w:t>s</w:t>
      </w:r>
      <w:r w:rsidRPr="00F461E2">
        <w:rPr>
          <w:rFonts w:ascii="Times New Roman" w:hAnsi="Times New Roman" w:cs="Times New Roman"/>
          <w:sz w:val="24"/>
          <w:szCs w:val="24"/>
        </w:rPr>
        <w:t xml:space="preserve"> the empirical results </w:t>
      </w:r>
      <w:r>
        <w:rPr>
          <w:rFonts w:ascii="Times New Roman" w:hAnsi="Times New Roman" w:cs="Times New Roman"/>
          <w:sz w:val="24"/>
          <w:szCs w:val="24"/>
        </w:rPr>
        <w:t xml:space="preserve">with a </w:t>
      </w:r>
      <w:r w:rsidR="00EC4630">
        <w:rPr>
          <w:rFonts w:ascii="Times New Roman" w:hAnsi="Times New Roman" w:cs="Times New Roman"/>
          <w:sz w:val="24"/>
          <w:szCs w:val="24"/>
        </w:rPr>
        <w:t>discussion, while section 5</w:t>
      </w:r>
      <w:r w:rsidRPr="00F461E2">
        <w:rPr>
          <w:rFonts w:ascii="Times New Roman" w:hAnsi="Times New Roman" w:cs="Times New Roman"/>
          <w:sz w:val="24"/>
          <w:szCs w:val="24"/>
        </w:rPr>
        <w:t xml:space="preserve"> conclude</w:t>
      </w:r>
      <w:r>
        <w:rPr>
          <w:rFonts w:ascii="Times New Roman" w:hAnsi="Times New Roman" w:cs="Times New Roman"/>
          <w:sz w:val="24"/>
          <w:szCs w:val="24"/>
        </w:rPr>
        <w:t>s</w:t>
      </w:r>
      <w:r w:rsidRPr="00F461E2">
        <w:rPr>
          <w:rFonts w:ascii="Times New Roman" w:hAnsi="Times New Roman" w:cs="Times New Roman"/>
          <w:sz w:val="24"/>
          <w:szCs w:val="24"/>
        </w:rPr>
        <w:t xml:space="preserve"> the paper with policy recommendations.</w:t>
      </w:r>
    </w:p>
    <w:p w:rsidR="00D90ABB" w:rsidRPr="00CF6A76" w:rsidRDefault="00BE35CD" w:rsidP="009B2A77">
      <w:pPr>
        <w:pStyle w:val="H2"/>
        <w:spacing w:before="240"/>
        <w:rPr>
          <w:sz w:val="24"/>
          <w:szCs w:val="24"/>
        </w:rPr>
      </w:pPr>
      <w:r>
        <w:rPr>
          <w:sz w:val="24"/>
          <w:szCs w:val="24"/>
        </w:rPr>
        <w:t>2.0</w:t>
      </w:r>
      <w:r>
        <w:rPr>
          <w:sz w:val="24"/>
          <w:szCs w:val="24"/>
        </w:rPr>
        <w:tab/>
      </w:r>
      <w:r w:rsidR="00D90ABB" w:rsidRPr="00CF6A76">
        <w:rPr>
          <w:sz w:val="24"/>
          <w:szCs w:val="24"/>
        </w:rPr>
        <w:t>Literature Review</w:t>
      </w:r>
      <w:bookmarkEnd w:id="7"/>
    </w:p>
    <w:p w:rsidR="00D90ABB" w:rsidRPr="00CF6A76" w:rsidRDefault="00D90ABB" w:rsidP="00D90ABB">
      <w:pPr>
        <w:spacing w:before="240"/>
        <w:jc w:val="both"/>
        <w:rPr>
          <w:rFonts w:ascii="Times New Roman" w:hAnsi="Times New Roman" w:cs="Times New Roman"/>
          <w:sz w:val="24"/>
          <w:szCs w:val="24"/>
        </w:rPr>
      </w:pPr>
      <w:r w:rsidRPr="00CF6A76">
        <w:rPr>
          <w:rFonts w:ascii="Times New Roman" w:hAnsi="Times New Roman" w:cs="Times New Roman"/>
          <w:sz w:val="24"/>
          <w:szCs w:val="24"/>
        </w:rPr>
        <w:t xml:space="preserve">Using an aggregate trade data covering 91 countries for the period 2005–2011, </w:t>
      </w:r>
      <w:proofErr w:type="spellStart"/>
      <w:r w:rsidRPr="00CF6A76">
        <w:rPr>
          <w:rFonts w:ascii="Times New Roman" w:hAnsi="Times New Roman" w:cs="Times New Roman"/>
          <w:sz w:val="24"/>
          <w:szCs w:val="24"/>
        </w:rPr>
        <w:t>Auboin</w:t>
      </w:r>
      <w:proofErr w:type="spellEnd"/>
      <w:r w:rsidRPr="00CF6A76">
        <w:rPr>
          <w:rFonts w:ascii="Times New Roman" w:hAnsi="Times New Roman" w:cs="Times New Roman"/>
          <w:sz w:val="24"/>
          <w:szCs w:val="24"/>
        </w:rPr>
        <w:t xml:space="preserve"> and </w:t>
      </w:r>
      <w:proofErr w:type="spellStart"/>
      <w:r w:rsidRPr="00CF6A76">
        <w:rPr>
          <w:rFonts w:ascii="Times New Roman" w:hAnsi="Times New Roman" w:cs="Times New Roman"/>
          <w:sz w:val="24"/>
          <w:szCs w:val="24"/>
        </w:rPr>
        <w:t>Engemann</w:t>
      </w:r>
      <w:proofErr w:type="spellEnd"/>
      <w:r w:rsidRPr="00CF6A76">
        <w:rPr>
          <w:rFonts w:ascii="Times New Roman" w:hAnsi="Times New Roman" w:cs="Times New Roman"/>
          <w:sz w:val="24"/>
          <w:szCs w:val="24"/>
        </w:rPr>
        <w:t xml:space="preserve"> (2014) used two-stage least squared leveraged on fixed and random effects while </w:t>
      </w:r>
      <w:proofErr w:type="spellStart"/>
      <w:r w:rsidRPr="00CF6A76">
        <w:rPr>
          <w:rFonts w:ascii="Times New Roman" w:hAnsi="Times New Roman" w:cs="Times New Roman"/>
          <w:sz w:val="24"/>
          <w:szCs w:val="24"/>
        </w:rPr>
        <w:t>analyzing</w:t>
      </w:r>
      <w:proofErr w:type="spellEnd"/>
      <w:r w:rsidRPr="00CF6A76">
        <w:rPr>
          <w:rFonts w:ascii="Times New Roman" w:hAnsi="Times New Roman" w:cs="Times New Roman"/>
          <w:sz w:val="24"/>
          <w:szCs w:val="24"/>
        </w:rPr>
        <w:t xml:space="preserve"> the effect of trade credit on trade. Their findings reveal significant positive effect of insured trade credit on trade, though the effect does not vary between crisis and non-crisis periods. In a firm analysis that considered both extensive and intensive margins of trade, </w:t>
      </w:r>
      <w:proofErr w:type="spellStart"/>
      <w:r w:rsidRPr="00CF6A76">
        <w:rPr>
          <w:rFonts w:ascii="Times New Roman" w:hAnsi="Times New Roman" w:cs="Times New Roman"/>
          <w:sz w:val="24"/>
          <w:szCs w:val="24"/>
        </w:rPr>
        <w:t>Muûls</w:t>
      </w:r>
      <w:proofErr w:type="spellEnd"/>
      <w:r w:rsidRPr="00CF6A76">
        <w:rPr>
          <w:rFonts w:ascii="Times New Roman" w:hAnsi="Times New Roman" w:cs="Times New Roman"/>
          <w:sz w:val="24"/>
          <w:szCs w:val="24"/>
        </w:rPr>
        <w:t xml:space="preserve"> (2015) </w:t>
      </w:r>
      <w:proofErr w:type="spellStart"/>
      <w:r w:rsidRPr="00CF6A76">
        <w:rPr>
          <w:rFonts w:ascii="Times New Roman" w:hAnsi="Times New Roman" w:cs="Times New Roman"/>
          <w:sz w:val="24"/>
          <w:szCs w:val="24"/>
        </w:rPr>
        <w:t>analyzes</w:t>
      </w:r>
      <w:proofErr w:type="spellEnd"/>
      <w:r w:rsidRPr="00CF6A76">
        <w:rPr>
          <w:rFonts w:ascii="Times New Roman" w:hAnsi="Times New Roman" w:cs="Times New Roman"/>
          <w:sz w:val="24"/>
          <w:szCs w:val="24"/>
        </w:rPr>
        <w:t xml:space="preserve"> the relationship between credit constraints and trade of more than 9000 Belgian manufacturing firms between 1999 and 2007. The author used linear probability model and found that firms that enjoy lower credit-constraints, more productive and profitable have a higher probability of being exporters or importers. Such firms are also likely to report larger total trade values. Also, firms that have better credit rating export and import more. In addition, firms trading behaviours differ both in terms of the level and growth of the various margins of trade that are related to credit constraints. In a related study, Wagner (2019) tested the relationships between credit restrictions and firms’ export performance of 25 European countries for the period 2014-2017. The author’s findings is contrary to the big picture revealed by a comprehensive literature </w:t>
      </w:r>
      <w:r w:rsidRPr="00CF6A76">
        <w:rPr>
          <w:rFonts w:ascii="Times New Roman" w:hAnsi="Times New Roman" w:cs="Times New Roman"/>
          <w:sz w:val="24"/>
          <w:szCs w:val="24"/>
        </w:rPr>
        <w:lastRenderedPageBreak/>
        <w:t>survey a significant negative relationship between more severe problems in access to finance and exports is only rarely found.</w:t>
      </w:r>
    </w:p>
    <w:p w:rsidR="00D90ABB" w:rsidRPr="00CF6A76" w:rsidRDefault="00D90ABB" w:rsidP="00D90ABB">
      <w:pPr>
        <w:jc w:val="both"/>
        <w:rPr>
          <w:rFonts w:ascii="Times New Roman" w:hAnsi="Times New Roman" w:cs="Times New Roman"/>
          <w:sz w:val="24"/>
          <w:szCs w:val="24"/>
        </w:rPr>
      </w:pPr>
      <w:r w:rsidRPr="00CF6A76">
        <w:rPr>
          <w:rFonts w:ascii="Times New Roman" w:hAnsi="Times New Roman" w:cs="Times New Roman"/>
          <w:sz w:val="24"/>
          <w:szCs w:val="24"/>
        </w:rPr>
        <w:t xml:space="preserve">In a panel analysis conducted across 27 Berne Union member countries for the period of 11 years, </w:t>
      </w:r>
      <w:proofErr w:type="spellStart"/>
      <w:r w:rsidRPr="00CF6A76">
        <w:rPr>
          <w:rFonts w:ascii="Times New Roman" w:hAnsi="Times New Roman" w:cs="Times New Roman"/>
          <w:sz w:val="24"/>
          <w:szCs w:val="24"/>
        </w:rPr>
        <w:t>Turguttopbas</w:t>
      </w:r>
      <w:proofErr w:type="spellEnd"/>
      <w:r w:rsidRPr="00CF6A76">
        <w:rPr>
          <w:rFonts w:ascii="Times New Roman" w:hAnsi="Times New Roman" w:cs="Times New Roman"/>
          <w:sz w:val="24"/>
          <w:szCs w:val="24"/>
        </w:rPr>
        <w:t xml:space="preserve"> and </w:t>
      </w:r>
      <w:proofErr w:type="spellStart"/>
      <w:r w:rsidRPr="00CF6A76">
        <w:rPr>
          <w:rFonts w:ascii="Times New Roman" w:hAnsi="Times New Roman" w:cs="Times New Roman"/>
          <w:sz w:val="24"/>
          <w:szCs w:val="24"/>
        </w:rPr>
        <w:t>Küçüker</w:t>
      </w:r>
      <w:proofErr w:type="spellEnd"/>
      <w:r w:rsidRPr="00CF6A76">
        <w:rPr>
          <w:rFonts w:ascii="Times New Roman" w:hAnsi="Times New Roman" w:cs="Times New Roman"/>
          <w:sz w:val="24"/>
          <w:szCs w:val="24"/>
        </w:rPr>
        <w:t xml:space="preserve"> (2020) elaborated the effects of the export credit insurance commitments on exportation. The authors employed fixed and random effects models in order to account for unobserved heterogeneity and found that the export credit insurance schemes, mainly supposed to be provided by the public insurers, may mitigate the detrimental effects of Covid-19 on international trade. </w:t>
      </w:r>
      <w:proofErr w:type="spellStart"/>
      <w:r w:rsidRPr="00CF6A76">
        <w:rPr>
          <w:rFonts w:ascii="Times New Roman" w:hAnsi="Times New Roman" w:cs="Times New Roman"/>
          <w:sz w:val="24"/>
          <w:szCs w:val="24"/>
        </w:rPr>
        <w:t>Máñez</w:t>
      </w:r>
      <w:proofErr w:type="spellEnd"/>
      <w:r w:rsidRPr="00CF6A76">
        <w:rPr>
          <w:rFonts w:ascii="Times New Roman" w:hAnsi="Times New Roman" w:cs="Times New Roman"/>
          <w:sz w:val="24"/>
          <w:szCs w:val="24"/>
        </w:rPr>
        <w:t xml:space="preserve"> and Vicente-</w:t>
      </w:r>
      <w:proofErr w:type="spellStart"/>
      <w:r w:rsidRPr="00CF6A76">
        <w:rPr>
          <w:rFonts w:ascii="Times New Roman" w:hAnsi="Times New Roman" w:cs="Times New Roman"/>
          <w:sz w:val="24"/>
          <w:szCs w:val="24"/>
        </w:rPr>
        <w:t>Chirivella</w:t>
      </w:r>
      <w:proofErr w:type="spellEnd"/>
      <w:r w:rsidRPr="00CF6A76">
        <w:rPr>
          <w:rFonts w:ascii="Times New Roman" w:hAnsi="Times New Roman" w:cs="Times New Roman"/>
          <w:sz w:val="24"/>
          <w:szCs w:val="24"/>
        </w:rPr>
        <w:t xml:space="preserve"> (2021) explored the role of financial constraints on firms’ exporting </w:t>
      </w:r>
      <w:proofErr w:type="spellStart"/>
      <w:r w:rsidRPr="00CF6A76">
        <w:rPr>
          <w:rFonts w:ascii="Times New Roman" w:hAnsi="Times New Roman" w:cs="Times New Roman"/>
          <w:sz w:val="24"/>
          <w:szCs w:val="24"/>
        </w:rPr>
        <w:t>behavior</w:t>
      </w:r>
      <w:proofErr w:type="spellEnd"/>
      <w:r w:rsidRPr="00CF6A76">
        <w:rPr>
          <w:rFonts w:ascii="Times New Roman" w:hAnsi="Times New Roman" w:cs="Times New Roman"/>
          <w:sz w:val="24"/>
          <w:szCs w:val="24"/>
        </w:rPr>
        <w:t xml:space="preserve"> of Spanish manufacturing firm over a period 1992–2014. Their findings show that financial health is a critical determinant of export persistence and stating to export decision of large firms and SME.</w:t>
      </w:r>
    </w:p>
    <w:p w:rsidR="00D90ABB" w:rsidRPr="00CF6A76" w:rsidRDefault="00D90ABB" w:rsidP="00D90ABB">
      <w:pPr>
        <w:jc w:val="both"/>
        <w:rPr>
          <w:rStyle w:val="markedcontent"/>
          <w:rFonts w:ascii="Times New Roman" w:hAnsi="Times New Roman" w:cs="Times New Roman"/>
          <w:sz w:val="24"/>
          <w:szCs w:val="24"/>
        </w:rPr>
      </w:pPr>
      <w:r w:rsidRPr="00CF6A76">
        <w:rPr>
          <w:rFonts w:ascii="Times New Roman" w:hAnsi="Times New Roman" w:cs="Times New Roman"/>
          <w:sz w:val="24"/>
          <w:szCs w:val="24"/>
        </w:rPr>
        <w:t xml:space="preserve">With the aid of gravity model, </w:t>
      </w:r>
      <w:proofErr w:type="spellStart"/>
      <w:r w:rsidRPr="00CF6A76">
        <w:rPr>
          <w:rFonts w:ascii="Times New Roman" w:hAnsi="Times New Roman" w:cs="Times New Roman"/>
          <w:sz w:val="24"/>
          <w:szCs w:val="24"/>
        </w:rPr>
        <w:t>Baltensperger</w:t>
      </w:r>
      <w:proofErr w:type="spellEnd"/>
      <w:r w:rsidRPr="00CF6A76">
        <w:rPr>
          <w:rFonts w:ascii="Times New Roman" w:hAnsi="Times New Roman" w:cs="Times New Roman"/>
          <w:sz w:val="24"/>
          <w:szCs w:val="24"/>
        </w:rPr>
        <w:t xml:space="preserve"> and Herger (2009) empirically estimated the consequences of the economic theories on the interrelationship between the public provision of export insurance and international trade of 30 OECD countries for the period 1999-2005. The results show that high risk of foreign default continues to hinder international trade, particularly in countries suffering from aggravated levels of political and commercial instability. The results further show evidence that issuing trade credits with generous state-guarantees has, to a modest degree, promoted exports to high and medium-income countries, but ineffective in opening up for low-income countries. In another panel analysis that employed gravity model, </w:t>
      </w:r>
      <w:proofErr w:type="spellStart"/>
      <w:r w:rsidRPr="00CF6A76">
        <w:rPr>
          <w:rStyle w:val="markedcontent"/>
          <w:rFonts w:ascii="Times New Roman" w:hAnsi="Times New Roman" w:cs="Times New Roman"/>
          <w:sz w:val="24"/>
          <w:szCs w:val="24"/>
        </w:rPr>
        <w:t>Polat</w:t>
      </w:r>
      <w:proofErr w:type="spellEnd"/>
      <w:r w:rsidRPr="00CF6A76">
        <w:rPr>
          <w:rStyle w:val="markedcontent"/>
          <w:rFonts w:ascii="Times New Roman" w:hAnsi="Times New Roman" w:cs="Times New Roman"/>
          <w:sz w:val="24"/>
          <w:szCs w:val="24"/>
        </w:rPr>
        <w:t xml:space="preserve"> and </w:t>
      </w:r>
      <w:proofErr w:type="spellStart"/>
      <w:r w:rsidRPr="00CF6A76">
        <w:rPr>
          <w:rStyle w:val="markedcontent"/>
          <w:rFonts w:ascii="Times New Roman" w:hAnsi="Times New Roman" w:cs="Times New Roman"/>
          <w:sz w:val="24"/>
          <w:szCs w:val="24"/>
        </w:rPr>
        <w:t>Yeşilyapra</w:t>
      </w:r>
      <w:proofErr w:type="spellEnd"/>
      <w:r w:rsidRPr="00CF6A76">
        <w:rPr>
          <w:rStyle w:val="markedcontent"/>
          <w:rFonts w:ascii="Times New Roman" w:hAnsi="Times New Roman" w:cs="Times New Roman"/>
          <w:sz w:val="24"/>
          <w:szCs w:val="24"/>
        </w:rPr>
        <w:t xml:space="preserve"> (2017) used fixed effect to examine the effect of export credit insurance on Turkey’s export during the period 2000-2015. They found existence of significant positive effect of export credit insurance on Turkish export. Using the same approach, </w:t>
      </w:r>
      <w:proofErr w:type="spellStart"/>
      <w:r w:rsidRPr="00FB3573">
        <w:rPr>
          <w:rStyle w:val="markedcontent"/>
          <w:rFonts w:ascii="Times New Roman" w:hAnsi="Times New Roman" w:cs="Times New Roman"/>
          <w:sz w:val="24"/>
          <w:szCs w:val="24"/>
        </w:rPr>
        <w:t>Balci</w:t>
      </w:r>
      <w:proofErr w:type="spellEnd"/>
      <w:r w:rsidRPr="00FB3573">
        <w:rPr>
          <w:rStyle w:val="markedcontent"/>
          <w:rFonts w:ascii="Times New Roman" w:hAnsi="Times New Roman" w:cs="Times New Roman"/>
          <w:sz w:val="24"/>
          <w:szCs w:val="24"/>
        </w:rPr>
        <w:t xml:space="preserve"> (2018)</w:t>
      </w:r>
      <w:r w:rsidRPr="00CF6A76">
        <w:rPr>
          <w:rStyle w:val="markedcontent"/>
          <w:rFonts w:ascii="Times New Roman" w:hAnsi="Times New Roman" w:cs="Times New Roman"/>
          <w:sz w:val="24"/>
          <w:szCs w:val="24"/>
        </w:rPr>
        <w:t xml:space="preserve"> examined the effect of export credit insurance on Turkish export to its 15 trading partners over a period 2001-2016. Both fixed and random effects models were estimated and the results revealed that a significant positive effect of insured exports on the volume of Turkey’s export to its trading partners emerging markets.</w:t>
      </w:r>
    </w:p>
    <w:p w:rsidR="00D90ABB" w:rsidRPr="00CF6A76" w:rsidRDefault="00D90ABB" w:rsidP="00D90ABB">
      <w:pPr>
        <w:jc w:val="both"/>
        <w:rPr>
          <w:rFonts w:ascii="Times New Roman" w:hAnsi="Times New Roman" w:cs="Times New Roman"/>
          <w:sz w:val="24"/>
          <w:szCs w:val="24"/>
        </w:rPr>
      </w:pPr>
      <w:proofErr w:type="spellStart"/>
      <w:r w:rsidRPr="008D270E">
        <w:rPr>
          <w:rStyle w:val="markedcontent"/>
          <w:rFonts w:ascii="Times New Roman" w:hAnsi="Times New Roman" w:cs="Times New Roman"/>
          <w:sz w:val="24"/>
          <w:szCs w:val="24"/>
        </w:rPr>
        <w:t>Rienstra-Munnicha</w:t>
      </w:r>
      <w:proofErr w:type="spellEnd"/>
      <w:r w:rsidRPr="008D270E">
        <w:rPr>
          <w:rStyle w:val="markedcontent"/>
          <w:rFonts w:ascii="Times New Roman" w:hAnsi="Times New Roman" w:cs="Times New Roman"/>
          <w:sz w:val="24"/>
          <w:szCs w:val="24"/>
        </w:rPr>
        <w:t xml:space="preserve"> and </w:t>
      </w:r>
      <w:proofErr w:type="spellStart"/>
      <w:r w:rsidRPr="008D270E">
        <w:rPr>
          <w:rStyle w:val="markedcontent"/>
          <w:rFonts w:ascii="Times New Roman" w:hAnsi="Times New Roman" w:cs="Times New Roman"/>
          <w:sz w:val="24"/>
          <w:szCs w:val="24"/>
        </w:rPr>
        <w:t>Turvey</w:t>
      </w:r>
      <w:proofErr w:type="spellEnd"/>
      <w:r w:rsidRPr="008D270E">
        <w:rPr>
          <w:rStyle w:val="markedcontent"/>
          <w:rFonts w:ascii="Times New Roman" w:hAnsi="Times New Roman" w:cs="Times New Roman"/>
          <w:sz w:val="24"/>
          <w:szCs w:val="24"/>
        </w:rPr>
        <w:t xml:space="preserve"> (2002</w:t>
      </w:r>
      <w:r w:rsidRPr="00CF6A76">
        <w:rPr>
          <w:rStyle w:val="markedcontent"/>
          <w:rFonts w:ascii="Times New Roman" w:hAnsi="Times New Roman" w:cs="Times New Roman"/>
          <w:sz w:val="24"/>
          <w:szCs w:val="24"/>
        </w:rPr>
        <w:t xml:space="preserve">) analyses the functional relationship between exports, credit risk and credit guarantees. Their results suggest that the exporter’s supply curve is more inelastic in the presence of payment risk (uncertainty), than it would be in the case of uncertainty. Also, the findings suggest that the supply curve will become more elastic by offering larger quantity for a given price, in the presence of export credit guarantees. </w:t>
      </w:r>
      <w:r w:rsidRPr="00CF6A76">
        <w:rPr>
          <w:rFonts w:ascii="Times New Roman" w:hAnsi="Times New Roman" w:cs="Times New Roman"/>
          <w:sz w:val="24"/>
          <w:szCs w:val="24"/>
        </w:rPr>
        <w:t xml:space="preserve">In an attempt to examine whether export insurance subsidy provided by the British government has aided export supply in Britain, </w:t>
      </w:r>
      <w:proofErr w:type="spellStart"/>
      <w:r w:rsidRPr="00CF6A76">
        <w:rPr>
          <w:rFonts w:ascii="Times New Roman" w:hAnsi="Times New Roman" w:cs="Times New Roman"/>
          <w:sz w:val="24"/>
          <w:szCs w:val="24"/>
        </w:rPr>
        <w:t>Mah</w:t>
      </w:r>
      <w:proofErr w:type="spellEnd"/>
      <w:r w:rsidRPr="00CF6A76">
        <w:rPr>
          <w:rFonts w:ascii="Times New Roman" w:hAnsi="Times New Roman" w:cs="Times New Roman"/>
          <w:sz w:val="24"/>
          <w:szCs w:val="24"/>
        </w:rPr>
        <w:t xml:space="preserve"> (2003) found that export subsidy is insignificant in increasing the export supply. while </w:t>
      </w:r>
      <w:proofErr w:type="spellStart"/>
      <w:r w:rsidRPr="00CF6A76">
        <w:rPr>
          <w:rFonts w:ascii="Times New Roman" w:hAnsi="Times New Roman" w:cs="Times New Roman"/>
          <w:sz w:val="24"/>
          <w:szCs w:val="24"/>
        </w:rPr>
        <w:t>analyzing</w:t>
      </w:r>
      <w:proofErr w:type="spellEnd"/>
      <w:r w:rsidRPr="00CF6A76">
        <w:rPr>
          <w:rFonts w:ascii="Times New Roman" w:hAnsi="Times New Roman" w:cs="Times New Roman"/>
          <w:sz w:val="24"/>
          <w:szCs w:val="24"/>
        </w:rPr>
        <w:t xml:space="preserve"> the interaction between credit constraints and exporting </w:t>
      </w:r>
      <w:proofErr w:type="spellStart"/>
      <w:r w:rsidRPr="00CF6A76">
        <w:rPr>
          <w:rFonts w:ascii="Times New Roman" w:hAnsi="Times New Roman" w:cs="Times New Roman"/>
          <w:sz w:val="24"/>
          <w:szCs w:val="24"/>
        </w:rPr>
        <w:t>behavior</w:t>
      </w:r>
      <w:proofErr w:type="spellEnd"/>
      <w:r w:rsidRPr="00CF6A76">
        <w:rPr>
          <w:rFonts w:ascii="Times New Roman" w:hAnsi="Times New Roman" w:cs="Times New Roman"/>
          <w:sz w:val="24"/>
          <w:szCs w:val="24"/>
        </w:rPr>
        <w:t xml:space="preserve"> of 9,000 Belgian manufacturing firms between 1999 and 2005, </w:t>
      </w:r>
      <w:proofErr w:type="spellStart"/>
      <w:r w:rsidRPr="00CF6A76">
        <w:rPr>
          <w:rFonts w:ascii="Times New Roman" w:hAnsi="Times New Roman" w:cs="Times New Roman"/>
          <w:sz w:val="24"/>
          <w:szCs w:val="24"/>
        </w:rPr>
        <w:t>Muûls</w:t>
      </w:r>
      <w:proofErr w:type="spellEnd"/>
      <w:r w:rsidRPr="00CF6A76">
        <w:rPr>
          <w:rFonts w:ascii="Times New Roman" w:hAnsi="Times New Roman" w:cs="Times New Roman"/>
          <w:sz w:val="24"/>
          <w:szCs w:val="24"/>
        </w:rPr>
        <w:t xml:space="preserve"> (2008) used fixed effect OLS and found that firms have tendency to export if they enjoy higher productivity levels and lower credit constraints. The findings further that only extensive margin of trade is mostly determined by credit constraints.  Over a period 2000-2008, </w:t>
      </w:r>
      <w:proofErr w:type="spellStart"/>
      <w:r w:rsidRPr="00CF6A76">
        <w:rPr>
          <w:rFonts w:ascii="Times New Roman" w:hAnsi="Times New Roman" w:cs="Times New Roman"/>
          <w:sz w:val="24"/>
          <w:szCs w:val="24"/>
        </w:rPr>
        <w:t>Feenstra</w:t>
      </w:r>
      <w:proofErr w:type="spellEnd"/>
      <w:r w:rsidRPr="00CF6A76">
        <w:rPr>
          <w:rFonts w:ascii="Times New Roman" w:hAnsi="Times New Roman" w:cs="Times New Roman"/>
          <w:sz w:val="24"/>
          <w:szCs w:val="24"/>
        </w:rPr>
        <w:t>, Li</w:t>
      </w:r>
      <w:r w:rsidR="00F65845">
        <w:rPr>
          <w:rFonts w:ascii="Times New Roman" w:hAnsi="Times New Roman" w:cs="Times New Roman"/>
          <w:iCs/>
          <w:sz w:val="24"/>
          <w:szCs w:val="24"/>
        </w:rPr>
        <w:t xml:space="preserve"> and</w:t>
      </w:r>
      <w:r w:rsidRPr="00CF6A76">
        <w:rPr>
          <w:rFonts w:ascii="Times New Roman" w:hAnsi="Times New Roman" w:cs="Times New Roman"/>
          <w:iCs/>
          <w:sz w:val="24"/>
          <w:szCs w:val="24"/>
        </w:rPr>
        <w:t xml:space="preserve"> Yu </w:t>
      </w:r>
      <w:r w:rsidRPr="00CF6A76">
        <w:rPr>
          <w:rFonts w:ascii="Times New Roman" w:hAnsi="Times New Roman" w:cs="Times New Roman"/>
          <w:sz w:val="24"/>
          <w:szCs w:val="24"/>
        </w:rPr>
        <w:t xml:space="preserve">(2014) used combination of OLS regression, two-stage least square, </w:t>
      </w:r>
      <w:proofErr w:type="spellStart"/>
      <w:proofErr w:type="gramStart"/>
      <w:r w:rsidRPr="00CF6A76">
        <w:rPr>
          <w:rFonts w:ascii="Times New Roman" w:hAnsi="Times New Roman" w:cs="Times New Roman"/>
          <w:sz w:val="24"/>
          <w:szCs w:val="24"/>
        </w:rPr>
        <w:t>tobit</w:t>
      </w:r>
      <w:proofErr w:type="spellEnd"/>
      <w:proofErr w:type="gramEnd"/>
      <w:r w:rsidRPr="00CF6A76">
        <w:rPr>
          <w:rFonts w:ascii="Times New Roman" w:hAnsi="Times New Roman" w:cs="Times New Roman"/>
          <w:sz w:val="24"/>
          <w:szCs w:val="24"/>
        </w:rPr>
        <w:t xml:space="preserve"> and </w:t>
      </w:r>
      <w:proofErr w:type="spellStart"/>
      <w:r w:rsidRPr="00CF6A76">
        <w:rPr>
          <w:rFonts w:ascii="Times New Roman" w:hAnsi="Times New Roman" w:cs="Times New Roman"/>
          <w:sz w:val="24"/>
          <w:szCs w:val="24"/>
        </w:rPr>
        <w:t>probit</w:t>
      </w:r>
      <w:proofErr w:type="spellEnd"/>
      <w:r w:rsidRPr="00CF6A76">
        <w:rPr>
          <w:rFonts w:ascii="Times New Roman" w:hAnsi="Times New Roman" w:cs="Times New Roman"/>
          <w:sz w:val="24"/>
          <w:szCs w:val="24"/>
        </w:rPr>
        <w:t xml:space="preserve"> to examine why credit constraints for domestic and exporting firms arise in a setting where banks do not observe firms productivities. They found that credit </w:t>
      </w:r>
      <w:r w:rsidRPr="00CF6A76">
        <w:rPr>
          <w:rFonts w:ascii="Times New Roman" w:hAnsi="Times New Roman" w:cs="Times New Roman"/>
          <w:sz w:val="24"/>
          <w:szCs w:val="24"/>
        </w:rPr>
        <w:lastRenderedPageBreak/>
        <w:t>constraint becomes tighter as a firm’s export share grows, as the time to ship for exports is lengthened, and as there is greater dispersion of firms’ productivities reflecting more incomplete information.</w:t>
      </w:r>
    </w:p>
    <w:p w:rsidR="00D90ABB" w:rsidRPr="00CF6A76" w:rsidRDefault="00D90ABB" w:rsidP="00D90ABB">
      <w:pPr>
        <w:pStyle w:val="Default"/>
        <w:spacing w:line="276" w:lineRule="auto"/>
        <w:jc w:val="both"/>
        <w:rPr>
          <w:rFonts w:ascii="Times New Roman" w:hAnsi="Times New Roman" w:cs="Times New Roman"/>
        </w:rPr>
      </w:pPr>
      <w:proofErr w:type="spellStart"/>
      <w:r w:rsidRPr="00CF6A76">
        <w:rPr>
          <w:rFonts w:ascii="Times New Roman" w:hAnsi="Times New Roman" w:cs="Times New Roman"/>
        </w:rPr>
        <w:t>Felbermayr</w:t>
      </w:r>
      <w:proofErr w:type="spellEnd"/>
      <w:r w:rsidRPr="00CF6A76">
        <w:rPr>
          <w:rFonts w:ascii="Times New Roman" w:hAnsi="Times New Roman" w:cs="Times New Roman"/>
        </w:rPr>
        <w:t xml:space="preserve"> and </w:t>
      </w:r>
      <w:proofErr w:type="spellStart"/>
      <w:r w:rsidRPr="00CF6A76">
        <w:rPr>
          <w:rFonts w:ascii="Times New Roman" w:hAnsi="Times New Roman" w:cs="Times New Roman"/>
        </w:rPr>
        <w:t>Yalcin</w:t>
      </w:r>
      <w:proofErr w:type="spellEnd"/>
      <w:r w:rsidRPr="00CF6A76">
        <w:rPr>
          <w:rFonts w:ascii="Times New Roman" w:hAnsi="Times New Roman" w:cs="Times New Roman"/>
        </w:rPr>
        <w:t xml:space="preserve"> (2011) employed fixed effects model to explore the impact of export credit guarantees on export performance of Germany. Their findings suggest a robust export-increasing effect of guarantees and that the effect is larger for export markets with poor financial institutions and in sectors that rely more on external finance. While examining the impact of two policy changes in India (the period 1998 when subsidized credit was extended to businesses) and (the period 2000 when subsidized credit for a portion of businesses was revoked) on export, Kapoor, </w:t>
      </w:r>
      <w:proofErr w:type="spellStart"/>
      <w:r w:rsidRPr="00CF6A76">
        <w:rPr>
          <w:rFonts w:ascii="Times New Roman" w:hAnsi="Times New Roman" w:cs="Times New Roman"/>
        </w:rPr>
        <w:t>Ranjan</w:t>
      </w:r>
      <w:proofErr w:type="spellEnd"/>
      <w:r w:rsidRPr="00CF6A76">
        <w:rPr>
          <w:rFonts w:ascii="Times New Roman" w:hAnsi="Times New Roman" w:cs="Times New Roman"/>
        </w:rPr>
        <w:t xml:space="preserve"> and </w:t>
      </w:r>
      <w:proofErr w:type="spellStart"/>
      <w:r w:rsidRPr="00CF6A76">
        <w:rPr>
          <w:rFonts w:ascii="Times New Roman" w:hAnsi="Times New Roman" w:cs="Times New Roman"/>
        </w:rPr>
        <w:t>Raychaudhuri</w:t>
      </w:r>
      <w:proofErr w:type="spellEnd"/>
      <w:r w:rsidRPr="00CF6A76">
        <w:rPr>
          <w:rFonts w:ascii="Times New Roman" w:hAnsi="Times New Roman" w:cs="Times New Roman"/>
        </w:rPr>
        <w:t xml:space="preserve"> (2017) revealed that the initial credit expansion significantly increased borrowing and export earnings of newly eligible business and that businesses earn more from exporting even after the subsidized was revoked. Using a </w:t>
      </w:r>
      <w:proofErr w:type="spellStart"/>
      <w:r w:rsidRPr="00CF6A76">
        <w:rPr>
          <w:rFonts w:ascii="Times New Roman" w:hAnsi="Times New Roman" w:cs="Times New Roman"/>
        </w:rPr>
        <w:t>Levinsohn-Petrin</w:t>
      </w:r>
      <w:proofErr w:type="spellEnd"/>
      <w:r w:rsidRPr="00CF6A76">
        <w:rPr>
          <w:rFonts w:ascii="Times New Roman" w:hAnsi="Times New Roman" w:cs="Times New Roman"/>
        </w:rPr>
        <w:t xml:space="preserve"> estimates of a Cobb Douglas production function, </w:t>
      </w:r>
      <w:proofErr w:type="spellStart"/>
      <w:r w:rsidRPr="00CF6A76">
        <w:rPr>
          <w:rFonts w:ascii="Times New Roman" w:hAnsi="Times New Roman" w:cs="Times New Roman"/>
        </w:rPr>
        <w:t>Cil</w:t>
      </w:r>
      <w:proofErr w:type="spellEnd"/>
      <w:r w:rsidRPr="00CF6A76">
        <w:rPr>
          <w:rFonts w:ascii="Times New Roman" w:hAnsi="Times New Roman" w:cs="Times New Roman"/>
        </w:rPr>
        <w:t xml:space="preserve"> and </w:t>
      </w:r>
      <w:proofErr w:type="spellStart"/>
      <w:r w:rsidRPr="00CF6A76">
        <w:rPr>
          <w:rFonts w:ascii="Times New Roman" w:hAnsi="Times New Roman" w:cs="Times New Roman"/>
        </w:rPr>
        <w:t>Dulger</w:t>
      </w:r>
      <w:proofErr w:type="spellEnd"/>
      <w:r w:rsidRPr="00CF6A76">
        <w:rPr>
          <w:rFonts w:ascii="Times New Roman" w:hAnsi="Times New Roman" w:cs="Times New Roman"/>
        </w:rPr>
        <w:t xml:space="preserve"> (2018) found that export activities of Turkish manufacturing firms is significantly restricted with credit constraints. </w:t>
      </w:r>
      <w:proofErr w:type="spellStart"/>
      <w:r w:rsidRPr="00CF6A76">
        <w:rPr>
          <w:rFonts w:ascii="Times New Roman" w:hAnsi="Times New Roman" w:cs="Times New Roman"/>
        </w:rPr>
        <w:t>Ciani</w:t>
      </w:r>
      <w:proofErr w:type="spellEnd"/>
      <w:r w:rsidRPr="00CF6A76">
        <w:rPr>
          <w:rFonts w:ascii="Times New Roman" w:hAnsi="Times New Roman" w:cs="Times New Roman"/>
        </w:rPr>
        <w:t xml:space="preserve"> and </w:t>
      </w:r>
      <w:proofErr w:type="spellStart"/>
      <w:r w:rsidRPr="00CF6A76">
        <w:rPr>
          <w:rFonts w:ascii="Times New Roman" w:hAnsi="Times New Roman" w:cs="Times New Roman"/>
        </w:rPr>
        <w:t>Bartoli</w:t>
      </w:r>
      <w:proofErr w:type="spellEnd"/>
      <w:r w:rsidRPr="00CF6A76">
        <w:rPr>
          <w:rFonts w:ascii="Times New Roman" w:hAnsi="Times New Roman" w:cs="Times New Roman"/>
        </w:rPr>
        <w:t xml:space="preserve"> (2020) explored the effect of credit constraints on quality differentiation across markets using the 8th </w:t>
      </w:r>
      <w:proofErr w:type="spellStart"/>
      <w:r w:rsidRPr="00CF6A76">
        <w:rPr>
          <w:rFonts w:ascii="Times New Roman" w:hAnsi="Times New Roman" w:cs="Times New Roman"/>
        </w:rPr>
        <w:t>UniCredit</w:t>
      </w:r>
      <w:proofErr w:type="spellEnd"/>
      <w:r w:rsidRPr="00CF6A76">
        <w:rPr>
          <w:rFonts w:ascii="Times New Roman" w:hAnsi="Times New Roman" w:cs="Times New Roman"/>
        </w:rPr>
        <w:t xml:space="preserve"> Survey on Italian SMEs conducted in 2011. </w:t>
      </w:r>
      <w:proofErr w:type="spellStart"/>
      <w:r w:rsidRPr="00CF6A76">
        <w:rPr>
          <w:rFonts w:ascii="Times New Roman" w:hAnsi="Times New Roman" w:cs="Times New Roman"/>
        </w:rPr>
        <w:t>Probit</w:t>
      </w:r>
      <w:proofErr w:type="spellEnd"/>
      <w:r w:rsidRPr="00CF6A76">
        <w:rPr>
          <w:rFonts w:ascii="Times New Roman" w:hAnsi="Times New Roman" w:cs="Times New Roman"/>
        </w:rPr>
        <w:t xml:space="preserve"> regression was employed and found that higher binding credit constraints makes a firm less likely to differentiate quality across markets. In an attempt to analyse how institutional hindrances affect the link between credit constraints and export decisions of firms across 131 countries, </w:t>
      </w:r>
      <w:r w:rsidRPr="00CF6A76">
        <w:rPr>
          <w:rFonts w:ascii="Times New Roman" w:hAnsi="Times New Roman" w:cs="Times New Roman"/>
          <w:bCs/>
        </w:rPr>
        <w:t xml:space="preserve">Phan, </w:t>
      </w:r>
      <w:proofErr w:type="spellStart"/>
      <w:r w:rsidRPr="00CF6A76">
        <w:rPr>
          <w:rFonts w:ascii="Times New Roman" w:hAnsi="Times New Roman" w:cs="Times New Roman"/>
          <w:bCs/>
        </w:rPr>
        <w:t>Stachuletz</w:t>
      </w:r>
      <w:proofErr w:type="spellEnd"/>
      <w:r w:rsidRPr="00CF6A76">
        <w:rPr>
          <w:rFonts w:ascii="Times New Roman" w:hAnsi="Times New Roman" w:cs="Times New Roman"/>
          <w:bCs/>
        </w:rPr>
        <w:t xml:space="preserve"> and Nguyen (2022) employed </w:t>
      </w:r>
      <w:proofErr w:type="spellStart"/>
      <w:r w:rsidRPr="00CF6A76">
        <w:rPr>
          <w:rFonts w:ascii="Times New Roman" w:hAnsi="Times New Roman" w:cs="Times New Roman"/>
          <w:bCs/>
        </w:rPr>
        <w:t>probit</w:t>
      </w:r>
      <w:proofErr w:type="spellEnd"/>
      <w:r w:rsidRPr="00CF6A76">
        <w:rPr>
          <w:rFonts w:ascii="Times New Roman" w:hAnsi="Times New Roman" w:cs="Times New Roman"/>
          <w:bCs/>
        </w:rPr>
        <w:t xml:space="preserve"> model and found that </w:t>
      </w:r>
      <w:r w:rsidRPr="00CF6A76">
        <w:rPr>
          <w:rFonts w:ascii="Times New Roman" w:hAnsi="Times New Roman" w:cs="Times New Roman"/>
        </w:rPr>
        <w:t xml:space="preserve">in middle-income countries, a weak institution prevents access to finance. More so, firms’ access to credit negatively affects exports in all regions. In the group of rich countries, however, the finding is most pronounced. </w:t>
      </w:r>
    </w:p>
    <w:p w:rsidR="00D90ABB" w:rsidRPr="00CF6A76" w:rsidRDefault="00D90ABB" w:rsidP="00D90ABB">
      <w:pPr>
        <w:autoSpaceDE w:val="0"/>
        <w:autoSpaceDN w:val="0"/>
        <w:adjustRightInd w:val="0"/>
        <w:spacing w:before="240" w:after="0"/>
        <w:jc w:val="both"/>
        <w:rPr>
          <w:rFonts w:ascii="Times New Roman" w:hAnsi="Times New Roman" w:cs="Times New Roman"/>
          <w:sz w:val="24"/>
          <w:szCs w:val="24"/>
        </w:rPr>
      </w:pPr>
      <w:r w:rsidRPr="00CF6A76">
        <w:rPr>
          <w:rStyle w:val="markedcontent"/>
          <w:rFonts w:ascii="Times New Roman" w:hAnsi="Times New Roman" w:cs="Times New Roman"/>
          <w:sz w:val="24"/>
          <w:szCs w:val="24"/>
        </w:rPr>
        <w:t xml:space="preserve">In a panel study that </w:t>
      </w:r>
      <w:r w:rsidRPr="00CF6A76">
        <w:rPr>
          <w:rFonts w:ascii="Times New Roman" w:hAnsi="Times New Roman" w:cs="Times New Roman"/>
          <w:sz w:val="24"/>
          <w:szCs w:val="24"/>
        </w:rPr>
        <w:t xml:space="preserve">considered about 50,000 manufacturing firms surveyed in 138 economies between the periods 2002 and 2012, Li </w:t>
      </w:r>
      <w:r w:rsidR="00FE4F82">
        <w:rPr>
          <w:rFonts w:ascii="Times New Roman" w:hAnsi="Times New Roman" w:cs="Times New Roman"/>
          <w:sz w:val="24"/>
          <w:szCs w:val="24"/>
        </w:rPr>
        <w:t>and</w:t>
      </w:r>
      <w:r w:rsidRPr="00CF6A76">
        <w:rPr>
          <w:rFonts w:ascii="Times New Roman" w:hAnsi="Times New Roman" w:cs="Times New Roman"/>
          <w:sz w:val="24"/>
          <w:szCs w:val="24"/>
        </w:rPr>
        <w:t xml:space="preserve"> ye (2021) used a </w:t>
      </w:r>
      <w:proofErr w:type="spellStart"/>
      <w:r w:rsidRPr="00CF6A76">
        <w:rPr>
          <w:rFonts w:ascii="Times New Roman" w:hAnsi="Times New Roman" w:cs="Times New Roman"/>
          <w:sz w:val="24"/>
          <w:szCs w:val="24"/>
        </w:rPr>
        <w:t>probit</w:t>
      </w:r>
      <w:proofErr w:type="spellEnd"/>
      <w:r w:rsidRPr="00CF6A76">
        <w:rPr>
          <w:rFonts w:ascii="Times New Roman" w:hAnsi="Times New Roman" w:cs="Times New Roman"/>
          <w:sz w:val="24"/>
          <w:szCs w:val="24"/>
        </w:rPr>
        <w:t xml:space="preserve"> regression model and found that the least productive and financially most constrained firms served only the domestic market. They also found that more relatively productive and financially less constrained firms export through trade intermediaries while the most productive and financially least constrained firms export directly to foreign markets. </w:t>
      </w:r>
      <w:r w:rsidRPr="00CF6A76">
        <w:rPr>
          <w:rFonts w:ascii="Times New Roman" w:hAnsi="Times New Roman" w:cs="Times New Roman"/>
          <w:color w:val="131413"/>
          <w:sz w:val="24"/>
          <w:szCs w:val="24"/>
        </w:rPr>
        <w:t xml:space="preserve">While </w:t>
      </w:r>
      <w:proofErr w:type="spellStart"/>
      <w:r w:rsidRPr="00CF6A76">
        <w:rPr>
          <w:rFonts w:ascii="Times New Roman" w:hAnsi="Times New Roman" w:cs="Times New Roman"/>
          <w:color w:val="131413"/>
          <w:sz w:val="24"/>
          <w:szCs w:val="24"/>
        </w:rPr>
        <w:t>analyzing</w:t>
      </w:r>
      <w:proofErr w:type="spellEnd"/>
      <w:r w:rsidRPr="00CF6A76">
        <w:rPr>
          <w:rFonts w:ascii="Times New Roman" w:hAnsi="Times New Roman" w:cs="Times New Roman"/>
          <w:color w:val="131413"/>
          <w:sz w:val="24"/>
          <w:szCs w:val="24"/>
        </w:rPr>
        <w:t xml:space="preserve"> the link between credit constraints and exports across a sample of large and heterogeneous small- and medium-sized firms from 65 emerging and developing countries between 2003 and 2014, </w:t>
      </w:r>
      <w:proofErr w:type="spellStart"/>
      <w:r w:rsidRPr="00CF6A76">
        <w:rPr>
          <w:rFonts w:ascii="Times New Roman" w:hAnsi="Times New Roman" w:cs="Times New Roman"/>
          <w:color w:val="222222"/>
          <w:sz w:val="24"/>
          <w:szCs w:val="24"/>
          <w:shd w:val="clear" w:color="auto" w:fill="FFFFFF"/>
        </w:rPr>
        <w:t>Pietrovito</w:t>
      </w:r>
      <w:proofErr w:type="spellEnd"/>
      <w:r w:rsidRPr="00CF6A76">
        <w:rPr>
          <w:rFonts w:ascii="Times New Roman" w:hAnsi="Times New Roman" w:cs="Times New Roman"/>
          <w:color w:val="222222"/>
          <w:sz w:val="24"/>
          <w:szCs w:val="24"/>
          <w:shd w:val="clear" w:color="auto" w:fill="FFFFFF"/>
        </w:rPr>
        <w:t xml:space="preserve"> &amp; </w:t>
      </w:r>
      <w:proofErr w:type="spellStart"/>
      <w:r w:rsidRPr="00CF6A76">
        <w:rPr>
          <w:rFonts w:ascii="Times New Roman" w:hAnsi="Times New Roman" w:cs="Times New Roman"/>
          <w:color w:val="222222"/>
          <w:sz w:val="24"/>
          <w:szCs w:val="24"/>
          <w:shd w:val="clear" w:color="auto" w:fill="FFFFFF"/>
        </w:rPr>
        <w:t>Pozzolo</w:t>
      </w:r>
      <w:proofErr w:type="spellEnd"/>
      <w:r w:rsidRPr="00CF6A76">
        <w:rPr>
          <w:rFonts w:ascii="Times New Roman" w:hAnsi="Times New Roman" w:cs="Times New Roman"/>
          <w:color w:val="222222"/>
          <w:sz w:val="24"/>
          <w:szCs w:val="24"/>
          <w:shd w:val="clear" w:color="auto" w:fill="FFFFFF"/>
        </w:rPr>
        <w:t xml:space="preserve"> (2021) with the aid of </w:t>
      </w:r>
      <w:r w:rsidRPr="00CF6A76">
        <w:rPr>
          <w:rFonts w:ascii="Times New Roman" w:hAnsi="Times New Roman" w:cs="Times New Roman"/>
          <w:sz w:val="24"/>
          <w:szCs w:val="24"/>
        </w:rPr>
        <w:t xml:space="preserve">OLS regression while </w:t>
      </w:r>
      <w:proofErr w:type="spellStart"/>
      <w:r w:rsidRPr="00CF6A76">
        <w:rPr>
          <w:rFonts w:ascii="Times New Roman" w:hAnsi="Times New Roman" w:cs="Times New Roman"/>
          <w:sz w:val="24"/>
          <w:szCs w:val="24"/>
        </w:rPr>
        <w:t>tobit</w:t>
      </w:r>
      <w:proofErr w:type="spellEnd"/>
      <w:r w:rsidRPr="00CF6A76">
        <w:rPr>
          <w:rFonts w:ascii="Times New Roman" w:hAnsi="Times New Roman" w:cs="Times New Roman"/>
          <w:sz w:val="24"/>
          <w:szCs w:val="24"/>
        </w:rPr>
        <w:t xml:space="preserve">, </w:t>
      </w:r>
      <w:proofErr w:type="spellStart"/>
      <w:r w:rsidRPr="00CF6A76">
        <w:rPr>
          <w:rFonts w:ascii="Times New Roman" w:hAnsi="Times New Roman" w:cs="Times New Roman"/>
          <w:sz w:val="24"/>
          <w:szCs w:val="24"/>
        </w:rPr>
        <w:t>probit</w:t>
      </w:r>
      <w:proofErr w:type="spellEnd"/>
      <w:r w:rsidRPr="00CF6A76">
        <w:rPr>
          <w:rFonts w:ascii="Times New Roman" w:hAnsi="Times New Roman" w:cs="Times New Roman"/>
          <w:sz w:val="24"/>
          <w:szCs w:val="24"/>
        </w:rPr>
        <w:t xml:space="preserve"> regression and two-stage least square regression were used as robust analysis. Their findings revealed a negative impact of credit constraints on both the probability that a firm’s exports and the share of exports over total sales, particularly for smaller and younger SMEs and for those operating within a less developed financial system and a worse institutional environment.</w:t>
      </w:r>
    </w:p>
    <w:p w:rsidR="00D90ABB" w:rsidRPr="00CF6A76" w:rsidRDefault="00D90ABB" w:rsidP="00D90ABB">
      <w:pPr>
        <w:autoSpaceDE w:val="0"/>
        <w:autoSpaceDN w:val="0"/>
        <w:adjustRightInd w:val="0"/>
        <w:spacing w:before="240" w:after="0"/>
        <w:jc w:val="both"/>
        <w:rPr>
          <w:rFonts w:ascii="Times New Roman" w:hAnsi="Times New Roman" w:cs="Times New Roman"/>
          <w:sz w:val="24"/>
          <w:szCs w:val="24"/>
        </w:rPr>
      </w:pPr>
      <w:r w:rsidRPr="00CF6A76">
        <w:rPr>
          <w:rFonts w:ascii="Times New Roman" w:hAnsi="Times New Roman" w:cs="Times New Roman"/>
          <w:sz w:val="24"/>
          <w:szCs w:val="24"/>
        </w:rPr>
        <w:t xml:space="preserve">In Nigeria, Anthony and Mustafa (2011) employed error correction model to examine the impact of current financial sector reforms on non-oil export in Nigeria for the period 1986-2009. Their findings reveal that financial liberalization in Nigeria has continued to yield positive impact on </w:t>
      </w:r>
      <w:r w:rsidRPr="00CF6A76">
        <w:rPr>
          <w:rFonts w:ascii="Times New Roman" w:hAnsi="Times New Roman" w:cs="Times New Roman"/>
          <w:sz w:val="24"/>
          <w:szCs w:val="24"/>
        </w:rPr>
        <w:lastRenderedPageBreak/>
        <w:t xml:space="preserve">non-oil export. In a cross-sectional study comprising 102 Nigerian firms, </w:t>
      </w:r>
      <w:proofErr w:type="spellStart"/>
      <w:r w:rsidRPr="00CF6A76">
        <w:rPr>
          <w:rFonts w:ascii="Times New Roman" w:hAnsi="Times New Roman" w:cs="Times New Roman"/>
          <w:bCs/>
          <w:sz w:val="24"/>
          <w:szCs w:val="24"/>
        </w:rPr>
        <w:t>Ningi</w:t>
      </w:r>
      <w:proofErr w:type="spellEnd"/>
      <w:r w:rsidRPr="00CF6A76">
        <w:rPr>
          <w:rFonts w:ascii="Times New Roman" w:hAnsi="Times New Roman" w:cs="Times New Roman"/>
          <w:bCs/>
          <w:sz w:val="24"/>
          <w:szCs w:val="24"/>
        </w:rPr>
        <w:t xml:space="preserve"> (2013)</w:t>
      </w:r>
      <w:r w:rsidRPr="00CF6A76">
        <w:rPr>
          <w:rFonts w:ascii="Times New Roman" w:hAnsi="Times New Roman" w:cs="Times New Roman"/>
          <w:b/>
          <w:bCs/>
          <w:sz w:val="24"/>
          <w:szCs w:val="24"/>
        </w:rPr>
        <w:t xml:space="preserve"> </w:t>
      </w:r>
      <w:r w:rsidRPr="00CF6A76">
        <w:rPr>
          <w:rFonts w:ascii="Times New Roman" w:hAnsi="Times New Roman" w:cs="Times New Roman"/>
          <w:sz w:val="24"/>
          <w:szCs w:val="24"/>
        </w:rPr>
        <w:t xml:space="preserve">found that non-oil export financing by banks (NEFB) has significant impact on non-oil export performance (NEP) among exporting firms in Nigeria. </w:t>
      </w:r>
      <w:r w:rsidRPr="00CF6A76">
        <w:rPr>
          <w:rFonts w:ascii="Times New Roman" w:hAnsi="Times New Roman" w:cs="Times New Roman"/>
          <w:bCs/>
          <w:sz w:val="24"/>
          <w:szCs w:val="24"/>
          <w:lang w:val="en-US"/>
        </w:rPr>
        <w:t xml:space="preserve">While exploring </w:t>
      </w:r>
      <w:r w:rsidRPr="00CF6A76">
        <w:rPr>
          <w:rFonts w:ascii="Times New Roman" w:hAnsi="Times New Roman" w:cs="Times New Roman"/>
          <w:sz w:val="24"/>
          <w:szCs w:val="24"/>
        </w:rPr>
        <w:t xml:space="preserve">the impact of Nigerian banks' credit and its causal relationship with non-oil exports performance, </w:t>
      </w:r>
      <w:proofErr w:type="spellStart"/>
      <w:r w:rsidRPr="00CF6A76">
        <w:rPr>
          <w:rFonts w:ascii="Times New Roman" w:hAnsi="Times New Roman" w:cs="Times New Roman"/>
          <w:bCs/>
          <w:sz w:val="24"/>
          <w:szCs w:val="24"/>
          <w:lang w:val="en-US"/>
        </w:rPr>
        <w:t>Elechi</w:t>
      </w:r>
      <w:proofErr w:type="spellEnd"/>
      <w:r w:rsidRPr="00CF6A76">
        <w:rPr>
          <w:rFonts w:ascii="Times New Roman" w:hAnsi="Times New Roman" w:cs="Times New Roman"/>
          <w:bCs/>
          <w:sz w:val="24"/>
          <w:szCs w:val="24"/>
          <w:lang w:val="en-US"/>
        </w:rPr>
        <w:t xml:space="preserve"> et al. (2016)</w:t>
      </w:r>
      <w:r w:rsidRPr="00CF6A76">
        <w:rPr>
          <w:rFonts w:ascii="Times New Roman" w:hAnsi="Times New Roman" w:cs="Times New Roman"/>
          <w:sz w:val="24"/>
          <w:szCs w:val="24"/>
        </w:rPr>
        <w:t xml:space="preserve"> found that Nigerian banks have not contributed adequately to the promotion of non-oil exports and that there is no causality between Nigerian banks' credit to non-oil exports and non-oil export performance. </w:t>
      </w:r>
      <w:proofErr w:type="spellStart"/>
      <w:r w:rsidRPr="00CF6A76">
        <w:rPr>
          <w:rFonts w:ascii="Times New Roman" w:hAnsi="Times New Roman" w:cs="Times New Roman"/>
          <w:sz w:val="24"/>
          <w:szCs w:val="24"/>
        </w:rPr>
        <w:t>Nwogo</w:t>
      </w:r>
      <w:proofErr w:type="spellEnd"/>
      <w:r w:rsidRPr="00CF6A76">
        <w:rPr>
          <w:rFonts w:ascii="Times New Roman" w:hAnsi="Times New Roman" w:cs="Times New Roman"/>
          <w:sz w:val="24"/>
          <w:szCs w:val="24"/>
        </w:rPr>
        <w:t xml:space="preserve"> (2017) with the aid of OLS technique assessed the impact of financial sector reforms on non-oil exports in Nigeria from 1981 to 2015. The result suggests that the financial sector's mobilization and transfer of credit to the export unit provides a solution to the desired increase in non-oil related export growth performance. </w:t>
      </w:r>
      <w:r w:rsidRPr="00CF6A76">
        <w:rPr>
          <w:rFonts w:ascii="Times New Roman" w:hAnsi="Times New Roman" w:cs="Times New Roman"/>
          <w:iCs/>
          <w:sz w:val="24"/>
          <w:szCs w:val="24"/>
        </w:rPr>
        <w:t>Using ARDL with structural breaks</w:t>
      </w:r>
      <w:r w:rsidRPr="008D270E">
        <w:rPr>
          <w:rFonts w:ascii="Times New Roman" w:hAnsi="Times New Roman" w:cs="Times New Roman"/>
          <w:iCs/>
          <w:sz w:val="24"/>
          <w:szCs w:val="24"/>
        </w:rPr>
        <w:t xml:space="preserve">, </w:t>
      </w:r>
      <w:proofErr w:type="spellStart"/>
      <w:r w:rsidRPr="008D270E">
        <w:rPr>
          <w:rFonts w:ascii="Times New Roman" w:hAnsi="Times New Roman" w:cs="Times New Roman"/>
          <w:iCs/>
          <w:sz w:val="24"/>
          <w:szCs w:val="24"/>
        </w:rPr>
        <w:t>Ayunku</w:t>
      </w:r>
      <w:proofErr w:type="spellEnd"/>
      <w:r w:rsidRPr="008D270E">
        <w:rPr>
          <w:rFonts w:ascii="Times New Roman" w:hAnsi="Times New Roman" w:cs="Times New Roman"/>
          <w:iCs/>
          <w:sz w:val="24"/>
          <w:szCs w:val="24"/>
        </w:rPr>
        <w:t xml:space="preserve"> and </w:t>
      </w:r>
      <w:proofErr w:type="spellStart"/>
      <w:r w:rsidRPr="008D270E">
        <w:rPr>
          <w:rFonts w:ascii="Times New Roman" w:hAnsi="Times New Roman" w:cs="Times New Roman"/>
          <w:iCs/>
          <w:sz w:val="24"/>
          <w:szCs w:val="24"/>
        </w:rPr>
        <w:t>Eweke</w:t>
      </w:r>
      <w:proofErr w:type="spellEnd"/>
      <w:r w:rsidRPr="008D270E">
        <w:rPr>
          <w:rFonts w:ascii="Times New Roman" w:hAnsi="Times New Roman" w:cs="Times New Roman"/>
          <w:iCs/>
          <w:sz w:val="24"/>
          <w:szCs w:val="24"/>
        </w:rPr>
        <w:t xml:space="preserve"> (2020)</w:t>
      </w:r>
      <w:r w:rsidRPr="00CF6A76">
        <w:rPr>
          <w:rFonts w:ascii="Times New Roman" w:hAnsi="Times New Roman" w:cs="Times New Roman"/>
          <w:iCs/>
          <w:sz w:val="24"/>
          <w:szCs w:val="24"/>
        </w:rPr>
        <w:t xml:space="preserve"> </w:t>
      </w:r>
      <w:proofErr w:type="spellStart"/>
      <w:r w:rsidRPr="00CF6A76">
        <w:rPr>
          <w:rFonts w:ascii="Times New Roman" w:hAnsi="Times New Roman" w:cs="Times New Roman"/>
          <w:iCs/>
          <w:sz w:val="24"/>
          <w:szCs w:val="24"/>
        </w:rPr>
        <w:t>analyzed</w:t>
      </w:r>
      <w:proofErr w:type="spellEnd"/>
      <w:r w:rsidRPr="00CF6A76">
        <w:rPr>
          <w:rFonts w:ascii="Times New Roman" w:hAnsi="Times New Roman" w:cs="Times New Roman"/>
          <w:iCs/>
          <w:sz w:val="24"/>
          <w:szCs w:val="24"/>
        </w:rPr>
        <w:t xml:space="preserve"> the effect of banks credit on the export sector in Nigeria over a period 1981-2018. Their findings reveal that </w:t>
      </w:r>
      <w:r w:rsidRPr="00CF6A76">
        <w:rPr>
          <w:rFonts w:ascii="Times New Roman" w:hAnsi="Times New Roman" w:cs="Times New Roman"/>
          <w:sz w:val="24"/>
          <w:szCs w:val="24"/>
        </w:rPr>
        <w:t>an increase in loans and advances, combined with other factors such as lending rate, real GDP, and inflation rate, significantly increases the total value of export in Nigeria in both the short and long run.</w:t>
      </w:r>
    </w:p>
    <w:p w:rsidR="00D90ABB" w:rsidRPr="00CF6A76" w:rsidRDefault="00D90ABB" w:rsidP="00D90ABB">
      <w:pPr>
        <w:autoSpaceDE w:val="0"/>
        <w:autoSpaceDN w:val="0"/>
        <w:adjustRightInd w:val="0"/>
        <w:spacing w:before="240" w:after="0"/>
        <w:jc w:val="both"/>
        <w:rPr>
          <w:rStyle w:val="markedcontent"/>
          <w:rFonts w:ascii="Times New Roman" w:hAnsi="Times New Roman" w:cs="Times New Roman"/>
          <w:b/>
          <w:sz w:val="24"/>
          <w:szCs w:val="24"/>
        </w:rPr>
      </w:pPr>
      <w:r w:rsidRPr="00CF6A76">
        <w:rPr>
          <w:rFonts w:ascii="Times New Roman" w:hAnsi="Times New Roman" w:cs="Times New Roman"/>
          <w:sz w:val="24"/>
          <w:szCs w:val="24"/>
        </w:rPr>
        <w:t xml:space="preserve">While exploring the effect of external credit on the probability of manufacturing firms to export in Nigeria, </w:t>
      </w:r>
      <w:proofErr w:type="spellStart"/>
      <w:r w:rsidRPr="00CF6A76">
        <w:rPr>
          <w:rFonts w:ascii="Times New Roman" w:hAnsi="Times New Roman" w:cs="Times New Roman"/>
          <w:sz w:val="24"/>
          <w:szCs w:val="24"/>
        </w:rPr>
        <w:t>Akoto</w:t>
      </w:r>
      <w:proofErr w:type="spellEnd"/>
      <w:r w:rsidRPr="00CF6A76">
        <w:rPr>
          <w:rFonts w:ascii="Times New Roman" w:hAnsi="Times New Roman" w:cs="Times New Roman"/>
          <w:sz w:val="24"/>
          <w:szCs w:val="24"/>
        </w:rPr>
        <w:t xml:space="preserve"> &amp; </w:t>
      </w:r>
      <w:proofErr w:type="spellStart"/>
      <w:r w:rsidRPr="00CF6A76">
        <w:rPr>
          <w:rFonts w:ascii="Times New Roman" w:hAnsi="Times New Roman" w:cs="Times New Roman"/>
          <w:sz w:val="24"/>
          <w:szCs w:val="24"/>
        </w:rPr>
        <w:t>Adjasi</w:t>
      </w:r>
      <w:proofErr w:type="spellEnd"/>
      <w:r w:rsidRPr="00CF6A76">
        <w:rPr>
          <w:rFonts w:ascii="Times New Roman" w:hAnsi="Times New Roman" w:cs="Times New Roman"/>
          <w:sz w:val="24"/>
          <w:szCs w:val="24"/>
        </w:rPr>
        <w:t xml:space="preserve"> (2020) used the 2014 World Bank Enterprise Surveys data with the aid of IV </w:t>
      </w:r>
      <w:proofErr w:type="spellStart"/>
      <w:r w:rsidRPr="00CF6A76">
        <w:rPr>
          <w:rFonts w:ascii="Times New Roman" w:hAnsi="Times New Roman" w:cs="Times New Roman"/>
          <w:sz w:val="24"/>
          <w:szCs w:val="24"/>
        </w:rPr>
        <w:t>probit</w:t>
      </w:r>
      <w:proofErr w:type="spellEnd"/>
      <w:r w:rsidRPr="00CF6A76">
        <w:rPr>
          <w:rFonts w:ascii="Times New Roman" w:hAnsi="Times New Roman" w:cs="Times New Roman"/>
          <w:sz w:val="24"/>
          <w:szCs w:val="24"/>
        </w:rPr>
        <w:t xml:space="preserve"> model. They found that the decision of Nigerian firms’ to enter foreign market is significantly driven by both bank and nonbank credit accessibility. </w:t>
      </w:r>
      <w:r w:rsidRPr="00CF6A76">
        <w:rPr>
          <w:rStyle w:val="markedcontent"/>
          <w:rFonts w:ascii="Times New Roman" w:hAnsi="Times New Roman" w:cs="Times New Roman"/>
          <w:sz w:val="24"/>
          <w:szCs w:val="24"/>
        </w:rPr>
        <w:t>Using the same data source</w:t>
      </w:r>
      <w:r w:rsidRPr="00CF6A76">
        <w:rPr>
          <w:rFonts w:ascii="Times New Roman" w:hAnsi="Times New Roman" w:cs="Times New Roman"/>
          <w:sz w:val="24"/>
          <w:szCs w:val="24"/>
        </w:rPr>
        <w:t xml:space="preserve">, </w:t>
      </w:r>
      <w:proofErr w:type="spellStart"/>
      <w:r w:rsidRPr="00CF6A76">
        <w:rPr>
          <w:rFonts w:ascii="Times New Roman" w:hAnsi="Times New Roman" w:cs="Times New Roman"/>
          <w:sz w:val="24"/>
          <w:szCs w:val="24"/>
        </w:rPr>
        <w:t>Akoto</w:t>
      </w:r>
      <w:proofErr w:type="spellEnd"/>
      <w:r w:rsidRPr="00CF6A76">
        <w:rPr>
          <w:rFonts w:ascii="Times New Roman" w:hAnsi="Times New Roman" w:cs="Times New Roman"/>
          <w:sz w:val="24"/>
          <w:szCs w:val="24"/>
        </w:rPr>
        <w:t xml:space="preserve"> and </w:t>
      </w:r>
      <w:proofErr w:type="spellStart"/>
      <w:r w:rsidRPr="00CF6A76">
        <w:rPr>
          <w:rFonts w:ascii="Times New Roman" w:hAnsi="Times New Roman" w:cs="Times New Roman"/>
          <w:sz w:val="24"/>
          <w:szCs w:val="24"/>
        </w:rPr>
        <w:t>Adjasi</w:t>
      </w:r>
      <w:proofErr w:type="spellEnd"/>
      <w:r w:rsidRPr="00CF6A76">
        <w:rPr>
          <w:rFonts w:ascii="Times New Roman" w:hAnsi="Times New Roman" w:cs="Times New Roman"/>
          <w:sz w:val="24"/>
          <w:szCs w:val="24"/>
        </w:rPr>
        <w:t xml:space="preserve"> (2021) with the aid of t</w:t>
      </w:r>
      <w:r w:rsidRPr="00CF6A76">
        <w:rPr>
          <w:rStyle w:val="markedcontent"/>
          <w:rFonts w:ascii="Times New Roman" w:hAnsi="Times New Roman" w:cs="Times New Roman"/>
          <w:sz w:val="24"/>
          <w:szCs w:val="24"/>
        </w:rPr>
        <w:t xml:space="preserve">wo-stage least square (2SLS) examined the impact of external credit on exports size of manufacturing firms in Nigeria. Their results showed that bank credit has significant negative impact on exports size whereas suppliers and customers’ credit are positive and significantly drives exports size. </w:t>
      </w:r>
    </w:p>
    <w:p w:rsidR="00CF6A76" w:rsidRPr="00CF6A76" w:rsidRDefault="00015F30" w:rsidP="00CF6A76">
      <w:pPr>
        <w:autoSpaceDE w:val="0"/>
        <w:autoSpaceDN w:val="0"/>
        <w:adjustRightInd w:val="0"/>
        <w:spacing w:before="240" w:after="0"/>
        <w:jc w:val="both"/>
        <w:rPr>
          <w:rFonts w:ascii="Times New Roman" w:hAnsi="Times New Roman" w:cs="Times New Roman"/>
          <w:color w:val="000000"/>
          <w:sz w:val="24"/>
          <w:szCs w:val="24"/>
        </w:rPr>
      </w:pPr>
      <w:r>
        <w:rPr>
          <w:rFonts w:ascii="Times New Roman" w:hAnsi="Times New Roman" w:cs="Times New Roman"/>
          <w:b/>
          <w:color w:val="000000"/>
          <w:sz w:val="24"/>
          <w:szCs w:val="24"/>
        </w:rPr>
        <w:t>3.0</w:t>
      </w:r>
      <w:r>
        <w:rPr>
          <w:rFonts w:ascii="Times New Roman" w:hAnsi="Times New Roman" w:cs="Times New Roman"/>
          <w:b/>
          <w:color w:val="000000"/>
          <w:sz w:val="24"/>
          <w:szCs w:val="24"/>
        </w:rPr>
        <w:tab/>
      </w:r>
      <w:r w:rsidR="00CF6A76" w:rsidRPr="00CF6A76">
        <w:rPr>
          <w:rFonts w:ascii="Times New Roman" w:hAnsi="Times New Roman" w:cs="Times New Roman"/>
          <w:b/>
          <w:color w:val="000000"/>
          <w:sz w:val="24"/>
          <w:szCs w:val="24"/>
        </w:rPr>
        <w:t>Methodology</w:t>
      </w:r>
      <w:r w:rsidR="00CF6A76" w:rsidRPr="00CF6A76">
        <w:rPr>
          <w:rFonts w:ascii="Times New Roman" w:hAnsi="Times New Roman" w:cs="Times New Roman"/>
          <w:color w:val="000000"/>
          <w:sz w:val="24"/>
          <w:szCs w:val="24"/>
        </w:rPr>
        <w:t xml:space="preserve"> </w:t>
      </w:r>
    </w:p>
    <w:p w:rsidR="00CF6A76" w:rsidRPr="00CF6A76" w:rsidRDefault="00CF6A76" w:rsidP="00CF6A76">
      <w:pPr>
        <w:autoSpaceDE w:val="0"/>
        <w:autoSpaceDN w:val="0"/>
        <w:adjustRightInd w:val="0"/>
        <w:spacing w:before="240" w:after="0"/>
        <w:jc w:val="both"/>
        <w:rPr>
          <w:rFonts w:ascii="Times New Roman" w:hAnsi="Times New Roman" w:cs="Times New Roman"/>
          <w:color w:val="000000"/>
          <w:sz w:val="24"/>
          <w:szCs w:val="24"/>
        </w:rPr>
      </w:pPr>
      <w:r w:rsidRPr="00CF6A76">
        <w:rPr>
          <w:rFonts w:ascii="Times New Roman" w:hAnsi="Times New Roman" w:cs="Times New Roman"/>
          <w:color w:val="000000"/>
          <w:sz w:val="24"/>
          <w:szCs w:val="24"/>
        </w:rPr>
        <w:t xml:space="preserve">The econometric model explored to capture the impact of export credit and other variables on non-oil export performance is stated as thus. This specification takes a lead in the models developed by </w:t>
      </w:r>
      <w:proofErr w:type="spellStart"/>
      <w:r w:rsidRPr="00CF6A76">
        <w:rPr>
          <w:rFonts w:ascii="Times New Roman" w:hAnsi="Times New Roman" w:cs="Times New Roman"/>
          <w:color w:val="000000"/>
          <w:sz w:val="24"/>
          <w:szCs w:val="24"/>
        </w:rPr>
        <w:t>Elechi</w:t>
      </w:r>
      <w:proofErr w:type="spellEnd"/>
      <w:r w:rsidRPr="00CF6A76">
        <w:rPr>
          <w:rFonts w:ascii="Times New Roman" w:hAnsi="Times New Roman" w:cs="Times New Roman"/>
          <w:color w:val="000000"/>
          <w:sz w:val="24"/>
          <w:szCs w:val="24"/>
        </w:rPr>
        <w:t xml:space="preserve">, </w:t>
      </w:r>
      <w:proofErr w:type="spellStart"/>
      <w:r w:rsidRPr="00CF6A76">
        <w:rPr>
          <w:rFonts w:ascii="Times New Roman" w:hAnsi="Times New Roman" w:cs="Times New Roman"/>
          <w:color w:val="000000"/>
          <w:sz w:val="24"/>
          <w:szCs w:val="24"/>
        </w:rPr>
        <w:t>Kasie</w:t>
      </w:r>
      <w:proofErr w:type="spellEnd"/>
      <w:r w:rsidRPr="00CF6A76">
        <w:rPr>
          <w:rFonts w:ascii="Times New Roman" w:hAnsi="Times New Roman" w:cs="Times New Roman"/>
          <w:color w:val="000000"/>
          <w:sz w:val="24"/>
          <w:szCs w:val="24"/>
        </w:rPr>
        <w:t xml:space="preserve"> and </w:t>
      </w:r>
      <w:proofErr w:type="spellStart"/>
      <w:r w:rsidRPr="00CF6A76">
        <w:rPr>
          <w:rFonts w:ascii="Times New Roman" w:hAnsi="Times New Roman" w:cs="Times New Roman"/>
          <w:color w:val="000000"/>
          <w:sz w:val="24"/>
          <w:szCs w:val="24"/>
        </w:rPr>
        <w:t>Chijindu</w:t>
      </w:r>
      <w:proofErr w:type="spellEnd"/>
      <w:r w:rsidRPr="00CF6A76">
        <w:rPr>
          <w:rFonts w:ascii="Times New Roman" w:hAnsi="Times New Roman" w:cs="Times New Roman"/>
          <w:color w:val="000000"/>
          <w:sz w:val="24"/>
          <w:szCs w:val="24"/>
        </w:rPr>
        <w:t xml:space="preserve"> (2016). Their model is specified thus:</w:t>
      </w:r>
    </w:p>
    <w:p w:rsidR="00CF6A76" w:rsidRPr="00CF6A76" w:rsidRDefault="00CF6A76" w:rsidP="00CF6A76">
      <w:pPr>
        <w:autoSpaceDE w:val="0"/>
        <w:autoSpaceDN w:val="0"/>
        <w:adjustRightInd w:val="0"/>
        <w:spacing w:before="240" w:after="0"/>
        <w:jc w:val="both"/>
        <w:rPr>
          <w:rFonts w:ascii="Times New Roman" w:hAnsi="Times New Roman" w:cs="Times New Roman"/>
          <w:sz w:val="24"/>
          <w:szCs w:val="24"/>
        </w:rPr>
      </w:pPr>
      <w:r w:rsidRPr="00CF6A76">
        <w:rPr>
          <w:rFonts w:ascii="Times New Roman" w:hAnsi="Times New Roman" w:cs="Times New Roman"/>
          <w:sz w:val="24"/>
          <w:szCs w:val="24"/>
        </w:rPr>
        <w:tab/>
      </w:r>
      <w:r w:rsidRPr="00CF6A76">
        <w:rPr>
          <w:rFonts w:ascii="Times New Roman" w:hAnsi="Times New Roman" w:cs="Times New Roman"/>
          <w:sz w:val="24"/>
          <w:szCs w:val="24"/>
        </w:rPr>
        <w:tab/>
      </w:r>
      <w:r w:rsidRPr="00CF6A76">
        <w:rPr>
          <w:rFonts w:ascii="Times New Roman" w:hAnsi="Times New Roman" w:cs="Times New Roman"/>
          <w:position w:val="-14"/>
          <w:sz w:val="24"/>
          <w:szCs w:val="24"/>
        </w:rPr>
        <w:object w:dxaOrig="68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5pt;height:21.75pt" o:ole="">
            <v:imagedata r:id="rId8" o:title=""/>
          </v:shape>
          <o:OLEObject Type="Embed" ProgID="Equation.DSMT4" ShapeID="_x0000_i1025" DrawAspect="Content" ObjectID="_1745818206" r:id="rId9"/>
        </w:object>
      </w:r>
    </w:p>
    <w:p w:rsidR="00CF6A76" w:rsidRPr="00CF6A76" w:rsidRDefault="00CF6A76" w:rsidP="00CF6A76">
      <w:pPr>
        <w:autoSpaceDE w:val="0"/>
        <w:autoSpaceDN w:val="0"/>
        <w:adjustRightInd w:val="0"/>
        <w:spacing w:before="240" w:after="0"/>
        <w:jc w:val="both"/>
        <w:rPr>
          <w:rFonts w:ascii="Times New Roman" w:hAnsi="Times New Roman" w:cs="Times New Roman"/>
          <w:sz w:val="24"/>
          <w:szCs w:val="24"/>
        </w:rPr>
      </w:pPr>
      <w:r w:rsidRPr="00CF6A76">
        <w:rPr>
          <w:rFonts w:ascii="Times New Roman" w:hAnsi="Times New Roman" w:cs="Times New Roman"/>
          <w:sz w:val="24"/>
          <w:szCs w:val="24"/>
        </w:rPr>
        <w:t xml:space="preserve">Where NEP represents non-oil export performance, CBCNE denotes commercial bank credits to non-oil exports, INTR represents interest rate while inflation rate is denoted by INF. </w:t>
      </w:r>
    </w:p>
    <w:p w:rsidR="00CF6A76" w:rsidRPr="00CF6A76" w:rsidRDefault="00CF6A76" w:rsidP="00CF6A76">
      <w:pPr>
        <w:autoSpaceDE w:val="0"/>
        <w:autoSpaceDN w:val="0"/>
        <w:adjustRightInd w:val="0"/>
        <w:spacing w:before="240" w:after="0"/>
        <w:jc w:val="both"/>
        <w:rPr>
          <w:rFonts w:ascii="Times New Roman" w:hAnsi="Times New Roman" w:cs="Times New Roman"/>
          <w:sz w:val="24"/>
          <w:szCs w:val="24"/>
        </w:rPr>
      </w:pPr>
      <w:r w:rsidRPr="00CF6A76">
        <w:rPr>
          <w:rFonts w:ascii="Times New Roman" w:hAnsi="Times New Roman" w:cs="Times New Roman"/>
          <w:sz w:val="24"/>
          <w:szCs w:val="24"/>
        </w:rPr>
        <w:t xml:space="preserve">In this study, equation (1) above was modified to include other macroeconomic variables such as GDP, exchange rate, and openness. The theoretical basis for the inclusion of these variables is justified by the fact that GDP is concerned with domestic production, which includes exportable goods, and transactions involving these exportable goods necessitate the use of an exchange rate. The volume of exportable goods is a result of openness policy, either within the domestic economy or between the domestic economy and the destination country. The preceding narrative supports </w:t>
      </w:r>
      <w:r w:rsidRPr="00CF6A76">
        <w:rPr>
          <w:rFonts w:ascii="Times New Roman" w:hAnsi="Times New Roman" w:cs="Times New Roman"/>
          <w:sz w:val="24"/>
          <w:szCs w:val="24"/>
        </w:rPr>
        <w:lastRenderedPageBreak/>
        <w:t>the inclusion of the three (3) variables in the model because they play a significant role in determining volume/quantum, transaction process, and costs. As a result, the model for this study is specified</w:t>
      </w:r>
      <w:r w:rsidRPr="00CF6A76">
        <w:rPr>
          <w:rFonts w:ascii="Times New Roman" w:hAnsi="Times New Roman" w:cs="Times New Roman"/>
          <w:sz w:val="24"/>
          <w:szCs w:val="24"/>
          <w:lang w:val="en-US"/>
        </w:rPr>
        <w:t xml:space="preserve"> in its non-linear form as given in equation (2).</w:t>
      </w:r>
    </w:p>
    <w:p w:rsidR="00CF6A76" w:rsidRPr="00CF6A76" w:rsidRDefault="00CF6A76" w:rsidP="00CF6A76">
      <w:pPr>
        <w:autoSpaceDE w:val="0"/>
        <w:autoSpaceDN w:val="0"/>
        <w:adjustRightInd w:val="0"/>
        <w:spacing w:before="240" w:after="0"/>
        <w:jc w:val="both"/>
        <w:rPr>
          <w:rFonts w:ascii="Times New Roman" w:hAnsi="Times New Roman" w:cs="Times New Roman"/>
          <w:color w:val="000000"/>
          <w:sz w:val="24"/>
          <w:szCs w:val="24"/>
        </w:rPr>
      </w:pPr>
      <w:r w:rsidRPr="00CF6A76">
        <w:rPr>
          <w:rFonts w:ascii="Times New Roman" w:hAnsi="Times New Roman" w:cs="Times New Roman"/>
          <w:sz w:val="24"/>
          <w:szCs w:val="24"/>
        </w:rPr>
        <w:tab/>
      </w:r>
      <w:r w:rsidRPr="00CF6A76">
        <w:rPr>
          <w:rFonts w:ascii="Times New Roman" w:hAnsi="Times New Roman" w:cs="Times New Roman"/>
          <w:position w:val="-12"/>
          <w:sz w:val="24"/>
          <w:szCs w:val="24"/>
        </w:rPr>
        <w:object w:dxaOrig="7580" w:dyaOrig="380">
          <v:shape id="_x0000_i1026" type="#_x0000_t75" style="width:381.75pt;height:21.75pt" o:ole="">
            <v:imagedata r:id="rId10" o:title=""/>
          </v:shape>
          <o:OLEObject Type="Embed" ProgID="Equation.DSMT4" ShapeID="_x0000_i1026" DrawAspect="Content" ObjectID="_1745818207" r:id="rId11"/>
        </w:object>
      </w:r>
    </w:p>
    <w:p w:rsidR="00CF6A76" w:rsidRPr="00CF6A76" w:rsidRDefault="00CF6A76" w:rsidP="00CF6A76">
      <w:pPr>
        <w:autoSpaceDE w:val="0"/>
        <w:autoSpaceDN w:val="0"/>
        <w:adjustRightInd w:val="0"/>
        <w:spacing w:after="0" w:line="240" w:lineRule="auto"/>
        <w:jc w:val="both"/>
        <w:rPr>
          <w:rFonts w:ascii="Times New Roman" w:hAnsi="Times New Roman" w:cs="Times New Roman"/>
          <w:sz w:val="24"/>
          <w:szCs w:val="24"/>
        </w:rPr>
      </w:pPr>
    </w:p>
    <w:p w:rsidR="00CF6A76" w:rsidRPr="00CF6A76" w:rsidRDefault="00CF6A76" w:rsidP="00CF6A76">
      <w:pPr>
        <w:autoSpaceDE w:val="0"/>
        <w:autoSpaceDN w:val="0"/>
        <w:adjustRightInd w:val="0"/>
        <w:spacing w:after="0" w:line="240" w:lineRule="auto"/>
        <w:jc w:val="both"/>
        <w:rPr>
          <w:rFonts w:ascii="Times New Roman" w:hAnsi="Times New Roman" w:cs="Times New Roman"/>
          <w:sz w:val="24"/>
          <w:szCs w:val="24"/>
        </w:rPr>
      </w:pPr>
      <w:r w:rsidRPr="00CF6A76">
        <w:rPr>
          <w:rFonts w:ascii="Times New Roman" w:hAnsi="Times New Roman" w:cs="Times New Roman"/>
          <w:sz w:val="24"/>
          <w:szCs w:val="24"/>
        </w:rPr>
        <w:t>The model is represented in a log-linear econometric format to obtain the coefficients of the elasticity of the variables, while reducing the possible impact that any outlier may have thus:</w:t>
      </w:r>
    </w:p>
    <w:p w:rsidR="00CF6A76" w:rsidRPr="00CF6A76" w:rsidRDefault="00CF6A76" w:rsidP="00CF6A76">
      <w:pPr>
        <w:autoSpaceDE w:val="0"/>
        <w:autoSpaceDN w:val="0"/>
        <w:adjustRightInd w:val="0"/>
        <w:spacing w:after="0" w:line="240" w:lineRule="auto"/>
        <w:jc w:val="both"/>
        <w:rPr>
          <w:rFonts w:ascii="Times New Roman" w:hAnsi="Times New Roman" w:cs="Times New Roman"/>
          <w:sz w:val="24"/>
          <w:szCs w:val="24"/>
        </w:rPr>
      </w:pPr>
      <w:r w:rsidRPr="00CF6A76">
        <w:rPr>
          <w:rFonts w:ascii="Times New Roman" w:hAnsi="Times New Roman" w:cs="Times New Roman"/>
          <w:sz w:val="24"/>
          <w:szCs w:val="24"/>
        </w:rPr>
        <w:tab/>
      </w:r>
    </w:p>
    <w:p w:rsidR="00CF6A76" w:rsidRPr="00CF6A76" w:rsidRDefault="00CF6A76" w:rsidP="00CF6A76">
      <w:pPr>
        <w:autoSpaceDE w:val="0"/>
        <w:autoSpaceDN w:val="0"/>
        <w:adjustRightInd w:val="0"/>
        <w:spacing w:after="0" w:line="240" w:lineRule="auto"/>
        <w:jc w:val="both"/>
        <w:rPr>
          <w:rFonts w:ascii="Times New Roman" w:eastAsiaTheme="minorEastAsia" w:hAnsi="Times New Roman" w:cs="Times New Roman"/>
          <w:sz w:val="24"/>
          <w:szCs w:val="24"/>
        </w:rPr>
      </w:pPr>
      <m:oMath>
        <m:r>
          <w:rPr>
            <w:rFonts w:ascii="Cambria Math" w:hAnsi="Cambria Math" w:cs="Times New Roman"/>
            <w:sz w:val="24"/>
            <w:szCs w:val="24"/>
          </w:rPr>
          <m:t>NE</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CBE</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r>
          <w:rPr>
            <w:rFonts w:ascii="Cambria Math" w:hAnsi="Cambria Math" w:cs="Times New Roman"/>
            <w:sz w:val="24"/>
            <w:szCs w:val="24"/>
          </w:rPr>
          <m:t>GD</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r>
          <w:rPr>
            <w:rFonts w:ascii="Cambria Math" w:hAnsi="Cambria Math" w:cs="Times New Roman"/>
            <w:sz w:val="24"/>
            <w:szCs w:val="24"/>
          </w:rPr>
          <m:t>IN</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4</m:t>
            </m:r>
          </m:sub>
        </m:sSub>
        <m:r>
          <w:rPr>
            <w:rFonts w:ascii="Cambria Math" w:hAnsi="Cambria Math" w:cs="Times New Roman"/>
            <w:sz w:val="24"/>
            <w:szCs w:val="24"/>
          </w:rPr>
          <m:t>IN</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5</m:t>
            </m:r>
          </m:sub>
        </m:sSub>
        <m:r>
          <w:rPr>
            <w:rFonts w:ascii="Cambria Math" w:hAnsi="Cambria Math" w:cs="Times New Roman"/>
            <w:sz w:val="24"/>
            <w:szCs w:val="24"/>
          </w:rPr>
          <m:t>EX</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6</m:t>
            </m:r>
          </m:sub>
        </m:sSub>
        <m:r>
          <w:rPr>
            <w:rFonts w:ascii="Cambria Math" w:hAnsi="Cambria Math" w:cs="Times New Roman"/>
            <w:sz w:val="24"/>
            <w:szCs w:val="24"/>
          </w:rPr>
          <m:t>OPE</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t</m:t>
            </m:r>
          </m:sub>
        </m:sSub>
      </m:oMath>
      <w:r w:rsidRPr="00CF6A76">
        <w:rPr>
          <w:rFonts w:ascii="Times New Roman" w:eastAsiaTheme="minorEastAsia" w:hAnsi="Times New Roman" w:cs="Times New Roman"/>
          <w:sz w:val="24"/>
          <w:szCs w:val="24"/>
        </w:rPr>
        <w:t xml:space="preserve"> </w:t>
      </w:r>
      <w:r w:rsidRPr="00CF6A76">
        <w:rPr>
          <w:rFonts w:ascii="Times New Roman" w:eastAsiaTheme="minorEastAsia" w:hAnsi="Times New Roman" w:cs="Times New Roman"/>
          <w:sz w:val="24"/>
          <w:szCs w:val="24"/>
        </w:rPr>
        <w:tab/>
        <w:t>(3)</w:t>
      </w:r>
    </w:p>
    <w:p w:rsidR="00CF6A76" w:rsidRPr="00CF6A76" w:rsidRDefault="00CF6A76" w:rsidP="00CF6A76">
      <w:pPr>
        <w:autoSpaceDE w:val="0"/>
        <w:autoSpaceDN w:val="0"/>
        <w:adjustRightInd w:val="0"/>
        <w:spacing w:after="0" w:line="240" w:lineRule="auto"/>
        <w:jc w:val="both"/>
        <w:rPr>
          <w:rFonts w:ascii="Times New Roman" w:hAnsi="Times New Roman" w:cs="Times New Roman"/>
          <w:sz w:val="24"/>
          <w:szCs w:val="24"/>
        </w:rPr>
      </w:pPr>
    </w:p>
    <w:p w:rsidR="00CF6A76" w:rsidRPr="00CF6A76" w:rsidRDefault="00CF6A76" w:rsidP="00CF6A76">
      <w:pPr>
        <w:tabs>
          <w:tab w:val="left" w:pos="2361"/>
        </w:tabs>
        <w:spacing w:after="0"/>
        <w:jc w:val="both"/>
        <w:rPr>
          <w:rFonts w:ascii="Times New Roman" w:hAnsi="Times New Roman" w:cs="Times New Roman"/>
          <w:sz w:val="24"/>
          <w:szCs w:val="24"/>
        </w:rPr>
      </w:pPr>
      <w:r w:rsidRPr="00CF6A76">
        <w:rPr>
          <w:rFonts w:ascii="Times New Roman" w:hAnsi="Times New Roman" w:cs="Times New Roman"/>
          <w:sz w:val="24"/>
          <w:szCs w:val="24"/>
        </w:rPr>
        <w:t>Where;</w:t>
      </w:r>
    </w:p>
    <w:p w:rsidR="00CF6A76" w:rsidRPr="00CF6A76" w:rsidRDefault="00CF6A76" w:rsidP="00CF6A76">
      <w:pPr>
        <w:tabs>
          <w:tab w:val="left" w:pos="2361"/>
        </w:tabs>
        <w:spacing w:after="0"/>
        <w:jc w:val="both"/>
        <w:rPr>
          <w:rFonts w:ascii="Times New Roman" w:hAnsi="Times New Roman" w:cs="Times New Roman"/>
          <w:sz w:val="24"/>
          <w:szCs w:val="24"/>
        </w:rPr>
      </w:pPr>
      <w:r w:rsidRPr="00CF6A76">
        <w:rPr>
          <w:rFonts w:ascii="Times New Roman" w:hAnsi="Times New Roman" w:cs="Times New Roman"/>
          <w:sz w:val="24"/>
          <w:szCs w:val="24"/>
        </w:rPr>
        <w:t>NEP = Non-oil Export Performance</w:t>
      </w:r>
    </w:p>
    <w:p w:rsidR="00CF6A76" w:rsidRPr="00CF6A76" w:rsidRDefault="00CF6A76" w:rsidP="00CF6A76">
      <w:pPr>
        <w:tabs>
          <w:tab w:val="left" w:pos="2361"/>
        </w:tabs>
        <w:spacing w:after="0"/>
        <w:jc w:val="both"/>
        <w:rPr>
          <w:rFonts w:ascii="Times New Roman" w:hAnsi="Times New Roman" w:cs="Times New Roman"/>
          <w:sz w:val="24"/>
          <w:szCs w:val="24"/>
        </w:rPr>
      </w:pPr>
      <w:r w:rsidRPr="00CF6A76">
        <w:rPr>
          <w:rFonts w:ascii="Times New Roman" w:hAnsi="Times New Roman" w:cs="Times New Roman"/>
          <w:sz w:val="24"/>
          <w:szCs w:val="24"/>
        </w:rPr>
        <w:t>CBEC = Commercial Banks’ Export Credit</w:t>
      </w:r>
    </w:p>
    <w:p w:rsidR="00CF6A76" w:rsidRPr="00CF6A76" w:rsidRDefault="00CF6A76" w:rsidP="00CF6A76">
      <w:pPr>
        <w:tabs>
          <w:tab w:val="left" w:pos="2361"/>
        </w:tabs>
        <w:spacing w:after="0"/>
        <w:jc w:val="both"/>
        <w:rPr>
          <w:rFonts w:ascii="Times New Roman" w:hAnsi="Times New Roman" w:cs="Times New Roman"/>
          <w:sz w:val="24"/>
          <w:szCs w:val="24"/>
        </w:rPr>
      </w:pPr>
      <w:r w:rsidRPr="00CF6A76">
        <w:rPr>
          <w:rFonts w:ascii="Times New Roman" w:hAnsi="Times New Roman" w:cs="Times New Roman"/>
          <w:sz w:val="24"/>
          <w:szCs w:val="24"/>
        </w:rPr>
        <w:t>RGDP = Real Gross Domestic Product</w:t>
      </w:r>
    </w:p>
    <w:p w:rsidR="00CF6A76" w:rsidRPr="00CF6A76" w:rsidRDefault="00CF6A76" w:rsidP="00CF6A76">
      <w:pPr>
        <w:tabs>
          <w:tab w:val="left" w:pos="2361"/>
        </w:tabs>
        <w:spacing w:after="0"/>
        <w:jc w:val="both"/>
        <w:rPr>
          <w:rFonts w:ascii="Times New Roman" w:hAnsi="Times New Roman" w:cs="Times New Roman"/>
          <w:sz w:val="24"/>
          <w:szCs w:val="24"/>
        </w:rPr>
      </w:pPr>
      <w:r w:rsidRPr="00CF6A76">
        <w:rPr>
          <w:rFonts w:ascii="Times New Roman" w:hAnsi="Times New Roman" w:cs="Times New Roman"/>
          <w:sz w:val="24"/>
          <w:szCs w:val="24"/>
        </w:rPr>
        <w:t>CPI = Consumer Price Index</w:t>
      </w:r>
    </w:p>
    <w:p w:rsidR="00CF6A76" w:rsidRPr="00CF6A76" w:rsidRDefault="00CF6A76" w:rsidP="00CF6A76">
      <w:pPr>
        <w:tabs>
          <w:tab w:val="left" w:pos="2361"/>
        </w:tabs>
        <w:spacing w:after="0"/>
        <w:jc w:val="both"/>
        <w:rPr>
          <w:rFonts w:ascii="Times New Roman" w:hAnsi="Times New Roman" w:cs="Times New Roman"/>
          <w:sz w:val="24"/>
          <w:szCs w:val="24"/>
        </w:rPr>
      </w:pPr>
      <w:r w:rsidRPr="00CF6A76">
        <w:rPr>
          <w:rFonts w:ascii="Times New Roman" w:hAnsi="Times New Roman" w:cs="Times New Roman"/>
          <w:sz w:val="24"/>
          <w:szCs w:val="24"/>
        </w:rPr>
        <w:t>EXR = Exchange rate</w:t>
      </w:r>
    </w:p>
    <w:p w:rsidR="00CF6A76" w:rsidRPr="00CF6A76" w:rsidRDefault="00CF6A76" w:rsidP="00CF6A76">
      <w:pPr>
        <w:tabs>
          <w:tab w:val="left" w:pos="2361"/>
        </w:tabs>
        <w:spacing w:after="0"/>
        <w:jc w:val="both"/>
        <w:rPr>
          <w:rFonts w:ascii="Times New Roman" w:hAnsi="Times New Roman" w:cs="Times New Roman"/>
          <w:sz w:val="24"/>
          <w:szCs w:val="24"/>
        </w:rPr>
      </w:pPr>
      <w:r w:rsidRPr="00CF6A76">
        <w:rPr>
          <w:rFonts w:ascii="Times New Roman" w:hAnsi="Times New Roman" w:cs="Times New Roman"/>
          <w:sz w:val="24"/>
          <w:szCs w:val="24"/>
        </w:rPr>
        <w:t>INTR = Interest rate</w:t>
      </w:r>
    </w:p>
    <w:p w:rsidR="00CF6A76" w:rsidRPr="00CF6A76" w:rsidRDefault="00CF6A76" w:rsidP="00CF6A76">
      <w:pPr>
        <w:tabs>
          <w:tab w:val="left" w:pos="2361"/>
        </w:tabs>
        <w:spacing w:after="0"/>
        <w:jc w:val="both"/>
        <w:rPr>
          <w:rFonts w:ascii="Times New Roman" w:hAnsi="Times New Roman" w:cs="Times New Roman"/>
          <w:sz w:val="24"/>
          <w:szCs w:val="24"/>
        </w:rPr>
      </w:pPr>
      <w:r w:rsidRPr="00CF6A76">
        <w:rPr>
          <w:rFonts w:ascii="Times New Roman" w:hAnsi="Times New Roman" w:cs="Times New Roman"/>
          <w:sz w:val="24"/>
          <w:szCs w:val="24"/>
        </w:rPr>
        <w:t xml:space="preserve">OPEN = Trade Openness </w:t>
      </w:r>
    </w:p>
    <w:p w:rsidR="00CF6A76" w:rsidRPr="00CF6A76" w:rsidRDefault="00CF6A76" w:rsidP="00CF6A76">
      <w:pPr>
        <w:tabs>
          <w:tab w:val="left" w:pos="2361"/>
        </w:tabs>
        <w:spacing w:after="0"/>
        <w:jc w:val="both"/>
        <w:rPr>
          <w:rFonts w:ascii="Times New Roman" w:hAnsi="Times New Roman" w:cs="Times New Roman"/>
          <w:sz w:val="24"/>
          <w:szCs w:val="24"/>
        </w:rPr>
      </w:pPr>
      <w:r w:rsidRPr="00CF6A76">
        <w:rPr>
          <w:rFonts w:ascii="Times New Roman" w:hAnsi="Times New Roman" w:cs="Times New Roman"/>
          <w:sz w:val="24"/>
          <w:szCs w:val="24"/>
        </w:rPr>
        <w:t xml:space="preserve">t = Time indicator, </w:t>
      </w:r>
      <w:proofErr w:type="spellStart"/>
      <w:r w:rsidRPr="00CF6A76">
        <w:rPr>
          <w:rFonts w:ascii="Times New Roman" w:hAnsi="Times New Roman" w:cs="Times New Roman"/>
          <w:sz w:val="24"/>
          <w:szCs w:val="24"/>
        </w:rPr>
        <w:t>i</w:t>
      </w:r>
      <w:proofErr w:type="spellEnd"/>
      <w:r w:rsidRPr="00CF6A76">
        <w:rPr>
          <w:rFonts w:ascii="Times New Roman" w:hAnsi="Times New Roman" w:cs="Times New Roman"/>
          <w:sz w:val="24"/>
          <w:szCs w:val="24"/>
        </w:rPr>
        <w:t xml:space="preserve"> = 1, 2… n,</w:t>
      </w:r>
    </w:p>
    <w:p w:rsidR="00CF6A76" w:rsidRPr="00CF6A76" w:rsidRDefault="00CF6A76" w:rsidP="00CF6A76">
      <w:pPr>
        <w:tabs>
          <w:tab w:val="left" w:pos="2361"/>
        </w:tabs>
        <w:spacing w:after="0"/>
        <w:jc w:val="both"/>
        <w:rPr>
          <w:rFonts w:ascii="Times New Roman" w:hAnsi="Times New Roman" w:cs="Times New Roman"/>
          <w:sz w:val="24"/>
          <w:szCs w:val="24"/>
        </w:rPr>
      </w:pPr>
      <m:oMath>
        <m:r>
          <w:rPr>
            <w:rFonts w:ascii="Cambria Math" w:hAnsi="Cambria Math" w:cs="Times New Roman"/>
            <w:sz w:val="24"/>
            <w:szCs w:val="24"/>
          </w:rPr>
          <m:t>β</m:t>
        </m:r>
      </m:oMath>
      <w:r w:rsidRPr="00CF6A76">
        <w:rPr>
          <w:rFonts w:ascii="Times New Roman" w:hAnsi="Times New Roman" w:cs="Times New Roman"/>
          <w:sz w:val="24"/>
          <w:szCs w:val="24"/>
        </w:rPr>
        <w:t xml:space="preserve"> = the coefficient of explanatory variables</w:t>
      </w:r>
    </w:p>
    <w:p w:rsidR="00CF6A76" w:rsidRPr="00CF6A76" w:rsidRDefault="003D52CE" w:rsidP="00CF6A76">
      <w:pPr>
        <w:tabs>
          <w:tab w:val="left" w:pos="2361"/>
        </w:tabs>
        <w:spacing w:after="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t</m:t>
            </m:r>
          </m:sub>
        </m:sSub>
      </m:oMath>
      <w:r w:rsidR="00CF6A76" w:rsidRPr="00CF6A76">
        <w:rPr>
          <w:rFonts w:ascii="Times New Roman" w:hAnsi="Times New Roman" w:cs="Times New Roman"/>
          <w:sz w:val="24"/>
          <w:szCs w:val="24"/>
        </w:rPr>
        <w:t xml:space="preserve"> = Error term</w:t>
      </w:r>
    </w:p>
    <w:p w:rsidR="00CF6A76" w:rsidRPr="00CF6A76" w:rsidRDefault="00CF6A76" w:rsidP="00CF6A76">
      <w:pPr>
        <w:autoSpaceDE w:val="0"/>
        <w:autoSpaceDN w:val="0"/>
        <w:adjustRightInd w:val="0"/>
        <w:spacing w:after="0"/>
        <w:jc w:val="both"/>
        <w:rPr>
          <w:rFonts w:ascii="Times New Roman" w:hAnsi="Times New Roman" w:cs="Times New Roman"/>
          <w:sz w:val="24"/>
          <w:szCs w:val="24"/>
        </w:rPr>
      </w:pPr>
      <w:r w:rsidRPr="00CF6A76">
        <w:rPr>
          <w:rFonts w:ascii="Times New Roman" w:hAnsi="Times New Roman" w:cs="Times New Roman"/>
          <w:sz w:val="24"/>
          <w:szCs w:val="24"/>
        </w:rPr>
        <w:t>NEP could be measured by several indicators such as: total non-oil export, non-oil export as a percentage of GDP, non-oil export as a percentage of total export and Growth rate of non-oil export (%).</w:t>
      </w:r>
    </w:p>
    <w:p w:rsidR="00CF6A76" w:rsidRPr="00CF6A76" w:rsidRDefault="00CF6A76" w:rsidP="00CF6A76">
      <w:pPr>
        <w:autoSpaceDE w:val="0"/>
        <w:autoSpaceDN w:val="0"/>
        <w:adjustRightInd w:val="0"/>
        <w:spacing w:before="240" w:after="0"/>
        <w:jc w:val="both"/>
        <w:rPr>
          <w:rFonts w:ascii="Times New Roman" w:hAnsi="Times New Roman" w:cs="Times New Roman"/>
          <w:sz w:val="24"/>
          <w:szCs w:val="24"/>
        </w:rPr>
      </w:pPr>
      <w:r w:rsidRPr="00CF6A76">
        <w:rPr>
          <w:rFonts w:ascii="Times New Roman" w:hAnsi="Times New Roman" w:cs="Times New Roman"/>
          <w:sz w:val="24"/>
          <w:szCs w:val="24"/>
        </w:rPr>
        <w:t>The component of non-oil export credit includes commercial banks’ credit to non-oil exporters and its growth rate (i.e. growth rate of commercial banks’ non-oil export credit).</w:t>
      </w:r>
      <w:bookmarkStart w:id="8" w:name="_Toc97822138"/>
      <w:bookmarkStart w:id="9" w:name="_Toc59399896"/>
      <w:bookmarkStart w:id="10" w:name="_Toc59572724"/>
      <w:bookmarkStart w:id="11" w:name="_Toc70614960"/>
    </w:p>
    <w:p w:rsidR="00CF6A76" w:rsidRPr="00CF6A76" w:rsidRDefault="002847E2" w:rsidP="00CF6A76">
      <w:pPr>
        <w:pStyle w:val="H2"/>
        <w:spacing w:before="240"/>
        <w:rPr>
          <w:sz w:val="24"/>
          <w:szCs w:val="24"/>
        </w:rPr>
      </w:pPr>
      <w:bookmarkStart w:id="12" w:name="_Toc115647117"/>
      <w:r>
        <w:rPr>
          <w:sz w:val="24"/>
          <w:szCs w:val="24"/>
        </w:rPr>
        <w:t>3.1</w:t>
      </w:r>
      <w:r w:rsidR="00CF6A76" w:rsidRPr="001143E8">
        <w:rPr>
          <w:sz w:val="24"/>
          <w:szCs w:val="24"/>
        </w:rPr>
        <w:tab/>
      </w:r>
      <w:r w:rsidR="00A47D8C">
        <w:rPr>
          <w:sz w:val="24"/>
          <w:szCs w:val="24"/>
        </w:rPr>
        <w:t>Analytical Framework</w:t>
      </w:r>
      <w:bookmarkEnd w:id="8"/>
      <w:bookmarkEnd w:id="12"/>
      <w:r w:rsidR="00CF6A76" w:rsidRPr="00CF6A76">
        <w:rPr>
          <w:sz w:val="24"/>
          <w:szCs w:val="24"/>
        </w:rPr>
        <w:tab/>
      </w:r>
    </w:p>
    <w:p w:rsidR="00CF6A76" w:rsidRPr="00CF6A76" w:rsidRDefault="00CF6A76" w:rsidP="00CF6A76">
      <w:pPr>
        <w:autoSpaceDE w:val="0"/>
        <w:autoSpaceDN w:val="0"/>
        <w:adjustRightInd w:val="0"/>
        <w:spacing w:before="240" w:after="0"/>
        <w:jc w:val="both"/>
        <w:rPr>
          <w:rFonts w:ascii="Times New Roman" w:hAnsi="Times New Roman" w:cs="Times New Roman"/>
          <w:sz w:val="24"/>
          <w:szCs w:val="24"/>
        </w:rPr>
      </w:pPr>
      <w:r w:rsidRPr="00CF6A76">
        <w:rPr>
          <w:rFonts w:ascii="Times New Roman" w:hAnsi="Times New Roman" w:cs="Times New Roman"/>
          <w:color w:val="000000"/>
          <w:sz w:val="24"/>
          <w:szCs w:val="24"/>
        </w:rPr>
        <w:t xml:space="preserve">In this study, the Autoregressive Distributive Lags (ARDL) of </w:t>
      </w:r>
      <w:proofErr w:type="spellStart"/>
      <w:r w:rsidRPr="00CF6A76">
        <w:rPr>
          <w:rFonts w:ascii="Times New Roman" w:hAnsi="Times New Roman" w:cs="Times New Roman"/>
          <w:color w:val="000000"/>
          <w:sz w:val="24"/>
          <w:szCs w:val="24"/>
        </w:rPr>
        <w:t>Pesaran</w:t>
      </w:r>
      <w:proofErr w:type="spellEnd"/>
      <w:r w:rsidRPr="00CF6A76">
        <w:rPr>
          <w:rFonts w:ascii="Times New Roman" w:hAnsi="Times New Roman" w:cs="Times New Roman"/>
          <w:color w:val="000000"/>
          <w:sz w:val="24"/>
          <w:szCs w:val="24"/>
        </w:rPr>
        <w:t xml:space="preserve"> </w:t>
      </w:r>
      <w:r w:rsidRPr="00CF6A76">
        <w:rPr>
          <w:rFonts w:ascii="Times New Roman" w:hAnsi="Times New Roman" w:cs="Times New Roman"/>
          <w:i/>
          <w:iCs/>
          <w:color w:val="000000"/>
          <w:sz w:val="24"/>
          <w:szCs w:val="24"/>
        </w:rPr>
        <w:t xml:space="preserve">et al. </w:t>
      </w:r>
      <w:r w:rsidR="005179C8">
        <w:rPr>
          <w:rFonts w:ascii="Times New Roman" w:hAnsi="Times New Roman" w:cs="Times New Roman"/>
          <w:color w:val="000000"/>
          <w:sz w:val="24"/>
          <w:szCs w:val="24"/>
        </w:rPr>
        <w:t>(200</w:t>
      </w:r>
      <w:r w:rsidRPr="00CF6A76">
        <w:rPr>
          <w:rFonts w:ascii="Times New Roman" w:hAnsi="Times New Roman" w:cs="Times New Roman"/>
          <w:color w:val="000000"/>
          <w:sz w:val="24"/>
          <w:szCs w:val="24"/>
        </w:rPr>
        <w:t xml:space="preserve">1) is utilized. The </w:t>
      </w:r>
      <w:r w:rsidRPr="00CF6A76">
        <w:rPr>
          <w:rFonts w:ascii="Times New Roman" w:hAnsi="Times New Roman" w:cs="Times New Roman"/>
          <w:sz w:val="24"/>
          <w:szCs w:val="24"/>
        </w:rPr>
        <w:t xml:space="preserve">methodology estimates the impacts and applies the bounds testing approach to ascertain whether long-run relationship exists between/among the variables in the model. One of the advantages of the ARDL approach is that it can be used to model mixture of both I(0) and I(1) in the same specification, which is not acceptable using traditional approaches, such as </w:t>
      </w:r>
      <w:proofErr w:type="spellStart"/>
      <w:r w:rsidRPr="00CF6A76">
        <w:rPr>
          <w:rFonts w:ascii="Times New Roman" w:hAnsi="Times New Roman" w:cs="Times New Roman"/>
          <w:sz w:val="24"/>
          <w:szCs w:val="24"/>
        </w:rPr>
        <w:t>Johanson’s</w:t>
      </w:r>
      <w:proofErr w:type="spellEnd"/>
      <w:r w:rsidRPr="00CF6A76">
        <w:rPr>
          <w:rFonts w:ascii="Times New Roman" w:hAnsi="Times New Roman" w:cs="Times New Roman"/>
          <w:sz w:val="24"/>
          <w:szCs w:val="24"/>
        </w:rPr>
        <w:t xml:space="preserve"> and Engel Granger’s technique. Also, ARDL technique addresses endogeneity issues if exist in the model. </w:t>
      </w:r>
      <w:proofErr w:type="spellStart"/>
      <w:r w:rsidRPr="00CF6A76">
        <w:rPr>
          <w:rFonts w:ascii="Times New Roman" w:hAnsi="Times New Roman" w:cs="Times New Roman"/>
          <w:sz w:val="24"/>
          <w:szCs w:val="24"/>
        </w:rPr>
        <w:t>Pesaran</w:t>
      </w:r>
      <w:proofErr w:type="spellEnd"/>
      <w:r w:rsidRPr="00CF6A76">
        <w:rPr>
          <w:rFonts w:ascii="Times New Roman" w:hAnsi="Times New Roman" w:cs="Times New Roman"/>
          <w:sz w:val="24"/>
          <w:szCs w:val="24"/>
        </w:rPr>
        <w:t xml:space="preserve"> and Shin (1999) claim that </w:t>
      </w:r>
      <w:proofErr w:type="spellStart"/>
      <w:r w:rsidRPr="00CF6A76">
        <w:rPr>
          <w:rFonts w:ascii="Times New Roman" w:hAnsi="Times New Roman" w:cs="Times New Roman"/>
          <w:sz w:val="24"/>
          <w:szCs w:val="24"/>
        </w:rPr>
        <w:t>modeling</w:t>
      </w:r>
      <w:proofErr w:type="spellEnd"/>
      <w:r w:rsidRPr="00CF6A76">
        <w:rPr>
          <w:rFonts w:ascii="Times New Roman" w:hAnsi="Times New Roman" w:cs="Times New Roman"/>
          <w:sz w:val="24"/>
          <w:szCs w:val="24"/>
        </w:rPr>
        <w:t xml:space="preserve"> the ARDL with appropriate lags will correct for both serial correlation and endogeneity issues. Endogeneity, according to </w:t>
      </w:r>
      <w:proofErr w:type="spellStart"/>
      <w:r w:rsidRPr="008D270E">
        <w:rPr>
          <w:rFonts w:ascii="Times New Roman" w:hAnsi="Times New Roman" w:cs="Times New Roman"/>
          <w:sz w:val="24"/>
          <w:szCs w:val="24"/>
        </w:rPr>
        <w:t>Jalil</w:t>
      </w:r>
      <w:proofErr w:type="spellEnd"/>
      <w:r w:rsidRPr="008D270E">
        <w:rPr>
          <w:rFonts w:ascii="Times New Roman" w:hAnsi="Times New Roman" w:cs="Times New Roman"/>
          <w:sz w:val="24"/>
          <w:szCs w:val="24"/>
        </w:rPr>
        <w:t xml:space="preserve"> et al. (2008</w:t>
      </w:r>
      <w:r w:rsidRPr="00CF6A76">
        <w:rPr>
          <w:rFonts w:ascii="Times New Roman" w:hAnsi="Times New Roman" w:cs="Times New Roman"/>
          <w:sz w:val="24"/>
          <w:szCs w:val="24"/>
        </w:rPr>
        <w:t>), is less of a problem if the estimated ARDL model is free of serial correlation. In using ARDL, therefore, all variables are assumed to be endogenous, and the model's long run and short run parameters are estimated simultaneously (</w:t>
      </w:r>
      <w:r w:rsidRPr="008D270E">
        <w:rPr>
          <w:rFonts w:ascii="Times New Roman" w:hAnsi="Times New Roman" w:cs="Times New Roman"/>
          <w:sz w:val="24"/>
          <w:szCs w:val="24"/>
        </w:rPr>
        <w:t>Khan et al, 2005</w:t>
      </w:r>
      <w:r w:rsidRPr="00CF6A76">
        <w:rPr>
          <w:rFonts w:ascii="Times New Roman" w:hAnsi="Times New Roman" w:cs="Times New Roman"/>
          <w:sz w:val="24"/>
          <w:szCs w:val="24"/>
        </w:rPr>
        <w:t xml:space="preserve">). It is also worth noting that </w:t>
      </w:r>
      <w:r w:rsidRPr="00CF6A76">
        <w:rPr>
          <w:rFonts w:ascii="Times New Roman" w:hAnsi="Times New Roman" w:cs="Times New Roman"/>
          <w:sz w:val="24"/>
          <w:szCs w:val="24"/>
        </w:rPr>
        <w:lastRenderedPageBreak/>
        <w:t xml:space="preserve">endogeneity issue is specifically important because the causal relationship between commercial banks’ export credits and non-oil exports performance cannot be predicted in advance. Lastly, ARDL bounds testing approach is more suitable and provides better results for small sample size. Using this approach, the dynamics of both the short-run and long-run parameters including the speed of adjustment when there is shock are estimated simultaneously within the same framework. Moreover, it subverts the problem of over-parameterization, as robust lag lengths are crucial to this approach. However, the shortcoming of ARDL approach is its inability to incorporate </w:t>
      </w:r>
      <w:proofErr w:type="gramStart"/>
      <w:r w:rsidRPr="00CF6A76">
        <w:rPr>
          <w:rFonts w:ascii="Times New Roman" w:hAnsi="Times New Roman" w:cs="Times New Roman"/>
          <w:sz w:val="24"/>
          <w:szCs w:val="24"/>
        </w:rPr>
        <w:t>I(</w:t>
      </w:r>
      <w:proofErr w:type="gramEnd"/>
      <w:r w:rsidRPr="00CF6A76">
        <w:rPr>
          <w:rFonts w:ascii="Times New Roman" w:hAnsi="Times New Roman" w:cs="Times New Roman"/>
          <w:sz w:val="24"/>
          <w:szCs w:val="24"/>
        </w:rPr>
        <w:t>2) variables in its analysis (</w:t>
      </w:r>
      <w:proofErr w:type="spellStart"/>
      <w:r w:rsidRPr="00CF6A76">
        <w:rPr>
          <w:rFonts w:ascii="Times New Roman" w:hAnsi="Times New Roman" w:cs="Times New Roman"/>
          <w:sz w:val="24"/>
          <w:szCs w:val="24"/>
        </w:rPr>
        <w:t>Nkwatoh</w:t>
      </w:r>
      <w:proofErr w:type="spellEnd"/>
      <w:r w:rsidRPr="00CF6A76">
        <w:rPr>
          <w:rFonts w:ascii="Times New Roman" w:hAnsi="Times New Roman" w:cs="Times New Roman"/>
          <w:sz w:val="24"/>
          <w:szCs w:val="24"/>
        </w:rPr>
        <w:t>, 2014).</w:t>
      </w:r>
    </w:p>
    <w:p w:rsidR="00CF6A76" w:rsidRPr="00CF6A76" w:rsidRDefault="00CF6A76" w:rsidP="00CF6A76">
      <w:pPr>
        <w:spacing w:before="240" w:after="0"/>
        <w:jc w:val="both"/>
        <w:rPr>
          <w:rFonts w:ascii="Times New Roman" w:hAnsi="Times New Roman" w:cs="Times New Roman"/>
          <w:sz w:val="24"/>
          <w:szCs w:val="24"/>
        </w:rPr>
      </w:pPr>
      <w:proofErr w:type="spellStart"/>
      <w:r w:rsidRPr="00CF6A76">
        <w:rPr>
          <w:rFonts w:ascii="Times New Roman" w:hAnsi="Times New Roman" w:cs="Times New Roman"/>
          <w:sz w:val="24"/>
          <w:szCs w:val="24"/>
        </w:rPr>
        <w:t>Pesaran</w:t>
      </w:r>
      <w:proofErr w:type="spellEnd"/>
      <w:r w:rsidRPr="00CF6A76">
        <w:rPr>
          <w:rFonts w:ascii="Times New Roman" w:hAnsi="Times New Roman" w:cs="Times New Roman"/>
          <w:sz w:val="24"/>
          <w:szCs w:val="24"/>
        </w:rPr>
        <w:t xml:space="preserve"> et al. (2001) and </w:t>
      </w:r>
      <w:proofErr w:type="spellStart"/>
      <w:r w:rsidRPr="008D270E">
        <w:rPr>
          <w:rFonts w:ascii="Times New Roman" w:hAnsi="Times New Roman" w:cs="Times New Roman"/>
          <w:sz w:val="24"/>
          <w:szCs w:val="24"/>
        </w:rPr>
        <w:t>Nkwatoh</w:t>
      </w:r>
      <w:proofErr w:type="spellEnd"/>
      <w:r w:rsidRPr="008D270E">
        <w:rPr>
          <w:rFonts w:ascii="Times New Roman" w:hAnsi="Times New Roman" w:cs="Times New Roman"/>
          <w:sz w:val="24"/>
          <w:szCs w:val="24"/>
        </w:rPr>
        <w:t xml:space="preserve"> (2014</w:t>
      </w:r>
      <w:r w:rsidRPr="00CF6A76">
        <w:rPr>
          <w:rFonts w:ascii="Times New Roman" w:hAnsi="Times New Roman" w:cs="Times New Roman"/>
          <w:sz w:val="24"/>
          <w:szCs w:val="24"/>
        </w:rPr>
        <w:t>) support that the ARDL approach begins with an examination of the Vector Auto-regressive (VAR) of order p, denoted VAR (p) often represented as:</w:t>
      </w:r>
    </w:p>
    <w:p w:rsidR="00CF6A76" w:rsidRPr="00CF6A76" w:rsidRDefault="00CF6A76" w:rsidP="00CF6A76">
      <w:pPr>
        <w:spacing w:after="0"/>
        <w:jc w:val="both"/>
        <w:rPr>
          <w:rFonts w:ascii="Times New Roman" w:hAnsi="Times New Roman" w:cs="Times New Roman"/>
          <w:i/>
          <w:sz w:val="24"/>
          <w:szCs w:val="24"/>
        </w:rPr>
      </w:pPr>
      <w:r w:rsidRPr="00CF6A76">
        <w:rPr>
          <w:rFonts w:ascii="Times New Roman" w:hAnsi="Times New Roman" w:cs="Times New Roman"/>
          <w:i/>
          <w:sz w:val="24"/>
          <w:szCs w:val="24"/>
        </w:rPr>
        <w:tab/>
      </w:r>
      <w:r w:rsidRPr="00CF6A76">
        <w:rPr>
          <w:rFonts w:ascii="Times New Roman" w:hAnsi="Times New Roman" w:cs="Times New Roman"/>
          <w:i/>
          <w:sz w:val="24"/>
          <w:szCs w:val="24"/>
        </w:rPr>
        <w:tab/>
      </w:r>
      <w:r w:rsidRPr="00CF6A76">
        <w:rPr>
          <w:rFonts w:ascii="Times New Roman" w:hAnsi="Times New Roman" w:cs="Times New Roman"/>
          <w:i/>
          <w:position w:val="-28"/>
          <w:sz w:val="24"/>
          <w:szCs w:val="24"/>
        </w:rPr>
        <w:object w:dxaOrig="2079" w:dyaOrig="680">
          <v:shape id="_x0000_i1027" type="#_x0000_t75" style="width:100.5pt;height:36pt" o:ole="">
            <v:imagedata r:id="rId12" o:title=""/>
          </v:shape>
          <o:OLEObject Type="Embed" ProgID="Equation.DSMT4" ShapeID="_x0000_i1027" DrawAspect="Content" ObjectID="_1745818208" r:id="rId13"/>
        </w:object>
      </w:r>
      <w:r w:rsidRPr="00CF6A76">
        <w:rPr>
          <w:rFonts w:ascii="Times New Roman" w:hAnsi="Times New Roman" w:cs="Times New Roman"/>
          <w:i/>
          <w:sz w:val="24"/>
          <w:szCs w:val="24"/>
        </w:rPr>
        <w:tab/>
      </w:r>
      <w:r w:rsidRPr="00CF6A76">
        <w:rPr>
          <w:rFonts w:ascii="Times New Roman" w:hAnsi="Times New Roman" w:cs="Times New Roman"/>
          <w:i/>
          <w:sz w:val="24"/>
          <w:szCs w:val="24"/>
        </w:rPr>
        <w:tab/>
      </w:r>
      <w:r w:rsidRPr="00CF6A76">
        <w:rPr>
          <w:rFonts w:ascii="Times New Roman" w:hAnsi="Times New Roman" w:cs="Times New Roman"/>
          <w:i/>
          <w:sz w:val="24"/>
          <w:szCs w:val="24"/>
        </w:rPr>
        <w:tab/>
      </w:r>
      <w:r w:rsidRPr="00CF6A76">
        <w:rPr>
          <w:rFonts w:ascii="Times New Roman" w:hAnsi="Times New Roman" w:cs="Times New Roman"/>
          <w:i/>
          <w:sz w:val="24"/>
          <w:szCs w:val="24"/>
        </w:rPr>
        <w:tab/>
      </w:r>
      <w:r w:rsidRPr="00CF6A76">
        <w:rPr>
          <w:rFonts w:ascii="Times New Roman" w:hAnsi="Times New Roman" w:cs="Times New Roman"/>
          <w:i/>
          <w:sz w:val="24"/>
          <w:szCs w:val="24"/>
        </w:rPr>
        <w:tab/>
      </w:r>
      <w:r w:rsidRPr="00CF6A76">
        <w:rPr>
          <w:rFonts w:ascii="Times New Roman" w:hAnsi="Times New Roman" w:cs="Times New Roman"/>
          <w:i/>
          <w:sz w:val="24"/>
          <w:szCs w:val="24"/>
        </w:rPr>
        <w:tab/>
        <w:t>(4)</w:t>
      </w:r>
    </w:p>
    <w:p w:rsidR="00CF6A76" w:rsidRPr="00CF6A76" w:rsidRDefault="00CF6A76" w:rsidP="00CF6A76">
      <w:pPr>
        <w:spacing w:before="240" w:after="0"/>
        <w:jc w:val="both"/>
        <w:rPr>
          <w:rFonts w:ascii="Times New Roman" w:hAnsi="Times New Roman" w:cs="Times New Roman"/>
          <w:sz w:val="24"/>
          <w:szCs w:val="24"/>
        </w:rPr>
      </w:pPr>
      <w:r w:rsidRPr="00CF6A76">
        <w:rPr>
          <w:rFonts w:ascii="Times New Roman" w:hAnsi="Times New Roman" w:cs="Times New Roman"/>
          <w:sz w:val="24"/>
          <w:szCs w:val="24"/>
        </w:rPr>
        <w:t xml:space="preserve">Where, </w:t>
      </w:r>
      <w:r w:rsidRPr="00CF6A76">
        <w:rPr>
          <w:rFonts w:ascii="Times New Roman" w:hAnsi="Times New Roman" w:cs="Times New Roman"/>
          <w:position w:val="-12"/>
          <w:sz w:val="24"/>
          <w:szCs w:val="24"/>
        </w:rPr>
        <w:object w:dxaOrig="240" w:dyaOrig="360">
          <v:shape id="_x0000_i1028" type="#_x0000_t75" style="width:14.25pt;height:21.75pt" o:ole="">
            <v:imagedata r:id="rId14" o:title=""/>
          </v:shape>
          <o:OLEObject Type="Embed" ProgID="Equation.DSMT4" ShapeID="_x0000_i1028" DrawAspect="Content" ObjectID="_1745818209" r:id="rId15"/>
        </w:object>
      </w:r>
      <w:r w:rsidRPr="00CF6A76">
        <w:rPr>
          <w:rFonts w:ascii="Times New Roman" w:hAnsi="Times New Roman" w:cs="Times New Roman"/>
          <w:sz w:val="24"/>
          <w:szCs w:val="24"/>
        </w:rPr>
        <w:t xml:space="preserve"> is a vector of both </w:t>
      </w:r>
      <w:r w:rsidRPr="00CF6A76">
        <w:rPr>
          <w:rFonts w:ascii="Times New Roman" w:hAnsi="Times New Roman" w:cs="Times New Roman"/>
          <w:position w:val="-12"/>
          <w:sz w:val="24"/>
          <w:szCs w:val="24"/>
        </w:rPr>
        <w:object w:dxaOrig="240" w:dyaOrig="360">
          <v:shape id="_x0000_i1029" type="#_x0000_t75" style="width:14.25pt;height:21.75pt" o:ole="">
            <v:imagedata r:id="rId16" o:title=""/>
          </v:shape>
          <o:OLEObject Type="Embed" ProgID="Equation.DSMT4" ShapeID="_x0000_i1029" DrawAspect="Content" ObjectID="_1745818210" r:id="rId17"/>
        </w:object>
      </w:r>
      <w:r w:rsidRPr="00CF6A76">
        <w:rPr>
          <w:rFonts w:ascii="Times New Roman" w:hAnsi="Times New Roman" w:cs="Times New Roman"/>
          <w:sz w:val="24"/>
          <w:szCs w:val="24"/>
        </w:rPr>
        <w:t xml:space="preserve"> </w:t>
      </w:r>
      <w:proofErr w:type="gramStart"/>
      <w:r w:rsidRPr="00CF6A76">
        <w:rPr>
          <w:rFonts w:ascii="Times New Roman" w:hAnsi="Times New Roman" w:cs="Times New Roman"/>
          <w:sz w:val="24"/>
          <w:szCs w:val="24"/>
        </w:rPr>
        <w:t xml:space="preserve">and </w:t>
      </w:r>
      <w:proofErr w:type="gramEnd"/>
      <w:r w:rsidRPr="00CF6A76">
        <w:rPr>
          <w:rFonts w:ascii="Times New Roman" w:hAnsi="Times New Roman" w:cs="Times New Roman"/>
          <w:position w:val="-12"/>
          <w:sz w:val="24"/>
          <w:szCs w:val="24"/>
        </w:rPr>
        <w:object w:dxaOrig="260" w:dyaOrig="360">
          <v:shape id="_x0000_i1030" type="#_x0000_t75" style="width:14.25pt;height:21.75pt" o:ole="">
            <v:imagedata r:id="rId18" o:title=""/>
          </v:shape>
          <o:OLEObject Type="Embed" ProgID="Equation.DSMT4" ShapeID="_x0000_i1030" DrawAspect="Content" ObjectID="_1745818211" r:id="rId19"/>
        </w:object>
      </w:r>
      <w:r w:rsidRPr="00CF6A76">
        <w:rPr>
          <w:rFonts w:ascii="Times New Roman" w:hAnsi="Times New Roman" w:cs="Times New Roman"/>
          <w:sz w:val="24"/>
          <w:szCs w:val="24"/>
        </w:rPr>
        <w:t xml:space="preserve">; </w:t>
      </w:r>
      <w:r w:rsidRPr="00CF6A76">
        <w:rPr>
          <w:rFonts w:ascii="Times New Roman" w:hAnsi="Times New Roman" w:cs="Times New Roman"/>
          <w:position w:val="-12"/>
          <w:sz w:val="24"/>
          <w:szCs w:val="24"/>
        </w:rPr>
        <w:object w:dxaOrig="260" w:dyaOrig="360">
          <v:shape id="_x0000_i1031" type="#_x0000_t75" style="width:14.25pt;height:21.75pt" o:ole="">
            <v:imagedata r:id="rId20" o:title=""/>
          </v:shape>
          <o:OLEObject Type="Embed" ProgID="Equation.DSMT4" ShapeID="_x0000_i1031" DrawAspect="Content" ObjectID="_1745818212" r:id="rId21"/>
        </w:object>
      </w:r>
      <w:r w:rsidRPr="00CF6A76">
        <w:rPr>
          <w:rFonts w:ascii="Times New Roman" w:hAnsi="Times New Roman" w:cs="Times New Roman"/>
          <w:sz w:val="24"/>
          <w:szCs w:val="24"/>
        </w:rPr>
        <w:t xml:space="preserve"> representing the dependent variables of the different models,  </w:t>
      </w:r>
      <w:r w:rsidRPr="00CF6A76">
        <w:rPr>
          <w:rFonts w:ascii="Times New Roman" w:hAnsi="Times New Roman" w:cs="Times New Roman"/>
          <w:position w:val="-12"/>
          <w:sz w:val="24"/>
          <w:szCs w:val="24"/>
        </w:rPr>
        <w:object w:dxaOrig="240" w:dyaOrig="360">
          <v:shape id="_x0000_i1032" type="#_x0000_t75" style="width:14.25pt;height:21.75pt" o:ole="">
            <v:imagedata r:id="rId22" o:title=""/>
          </v:shape>
          <o:OLEObject Type="Embed" ProgID="Equation.DSMT4" ShapeID="_x0000_i1032" DrawAspect="Content" ObjectID="_1745818213" r:id="rId23"/>
        </w:object>
      </w:r>
      <w:r w:rsidRPr="00CF6A76">
        <w:rPr>
          <w:rFonts w:ascii="Times New Roman" w:hAnsi="Times New Roman" w:cs="Times New Roman"/>
          <w:sz w:val="24"/>
          <w:szCs w:val="24"/>
        </w:rPr>
        <w:t xml:space="preserve"> is the vector of matrix  representing a set of explanatory variables. The principle is that </w:t>
      </w:r>
      <w:r w:rsidRPr="00CF6A76">
        <w:rPr>
          <w:rFonts w:ascii="Times New Roman" w:hAnsi="Times New Roman" w:cs="Times New Roman"/>
          <w:position w:val="-12"/>
          <w:sz w:val="24"/>
          <w:szCs w:val="24"/>
        </w:rPr>
        <w:object w:dxaOrig="260" w:dyaOrig="360">
          <v:shape id="_x0000_i1033" type="#_x0000_t75" style="width:14.25pt;height:21.75pt" o:ole="">
            <v:imagedata r:id="rId24" o:title=""/>
          </v:shape>
          <o:OLEObject Type="Embed" ProgID="Equation.DSMT4" ShapeID="_x0000_i1033" DrawAspect="Content" ObjectID="_1745818214" r:id="rId25"/>
        </w:object>
      </w:r>
      <w:r w:rsidRPr="00CF6A76">
        <w:rPr>
          <w:rFonts w:ascii="Times New Roman" w:hAnsi="Times New Roman" w:cs="Times New Roman"/>
          <w:sz w:val="24"/>
          <w:szCs w:val="24"/>
        </w:rPr>
        <w:t xml:space="preserve">must be an </w:t>
      </w:r>
      <w:proofErr w:type="gramStart"/>
      <w:r w:rsidRPr="00CF6A76">
        <w:rPr>
          <w:rFonts w:ascii="Times New Roman" w:hAnsi="Times New Roman" w:cs="Times New Roman"/>
          <w:sz w:val="24"/>
          <w:szCs w:val="24"/>
        </w:rPr>
        <w:t>I(</w:t>
      </w:r>
      <w:proofErr w:type="gramEnd"/>
      <w:r w:rsidRPr="00CF6A76">
        <w:rPr>
          <w:rFonts w:ascii="Times New Roman" w:hAnsi="Times New Roman" w:cs="Times New Roman"/>
          <w:sz w:val="24"/>
          <w:szCs w:val="24"/>
        </w:rPr>
        <w:t xml:space="preserve">1) variable, but the </w:t>
      </w:r>
      <w:proofErr w:type="spellStart"/>
      <w:r w:rsidRPr="00CF6A76">
        <w:rPr>
          <w:rFonts w:ascii="Times New Roman" w:hAnsi="Times New Roman" w:cs="Times New Roman"/>
          <w:sz w:val="24"/>
          <w:szCs w:val="24"/>
        </w:rPr>
        <w:t>regressor</w:t>
      </w:r>
      <w:proofErr w:type="spellEnd"/>
      <w:r w:rsidRPr="00CF6A76">
        <w:rPr>
          <w:rFonts w:ascii="Times New Roman" w:hAnsi="Times New Roman" w:cs="Times New Roman"/>
          <w:sz w:val="24"/>
          <w:szCs w:val="24"/>
        </w:rPr>
        <w:t xml:space="preserve"> </w:t>
      </w:r>
      <w:r w:rsidRPr="00CF6A76">
        <w:rPr>
          <w:rFonts w:ascii="Times New Roman" w:hAnsi="Times New Roman" w:cs="Times New Roman"/>
          <w:position w:val="-12"/>
          <w:sz w:val="24"/>
          <w:szCs w:val="24"/>
        </w:rPr>
        <w:object w:dxaOrig="240" w:dyaOrig="360">
          <v:shape id="_x0000_i1034" type="#_x0000_t75" style="width:14.25pt;height:21.75pt" o:ole="">
            <v:imagedata r:id="rId26" o:title=""/>
          </v:shape>
          <o:OLEObject Type="Embed" ProgID="Equation.DSMT4" ShapeID="_x0000_i1034" DrawAspect="Content" ObjectID="_1745818215" r:id="rId27"/>
        </w:object>
      </w:r>
      <w:r w:rsidRPr="00CF6A76">
        <w:rPr>
          <w:rFonts w:ascii="Times New Roman" w:hAnsi="Times New Roman" w:cs="Times New Roman"/>
          <w:sz w:val="24"/>
          <w:szCs w:val="24"/>
        </w:rPr>
        <w:t xml:space="preserve"> can either be I(0) or I(1).</w:t>
      </w:r>
    </w:p>
    <w:p w:rsidR="00CF6A76" w:rsidRPr="00CF6A76" w:rsidRDefault="00CF6A76" w:rsidP="00CF6A76">
      <w:pPr>
        <w:spacing w:before="240" w:after="0"/>
        <w:jc w:val="both"/>
        <w:rPr>
          <w:rFonts w:ascii="Times New Roman" w:hAnsi="Times New Roman" w:cs="Times New Roman"/>
          <w:sz w:val="24"/>
          <w:szCs w:val="24"/>
        </w:rPr>
      </w:pPr>
      <w:r w:rsidRPr="00CF6A76">
        <w:rPr>
          <w:rFonts w:ascii="Times New Roman" w:hAnsi="Times New Roman" w:cs="Times New Roman"/>
          <w:sz w:val="24"/>
          <w:szCs w:val="24"/>
        </w:rPr>
        <w:t>According to Noman (2014), ARDL was developed to accommodate current and previous lags of the dependent variable (AR) while various distributive lags of the explanatory variables (DL). In its basic form, an ARDL regression model looks thus:</w:t>
      </w:r>
    </w:p>
    <w:p w:rsidR="00CF6A76" w:rsidRPr="00CF6A76" w:rsidRDefault="00CF6A76" w:rsidP="00CF6A76">
      <w:pPr>
        <w:spacing w:before="240" w:after="0"/>
        <w:jc w:val="both"/>
        <w:rPr>
          <w:rFonts w:ascii="Times New Roman" w:hAnsi="Times New Roman" w:cs="Times New Roman"/>
          <w:i/>
          <w:sz w:val="24"/>
          <w:szCs w:val="24"/>
        </w:rPr>
      </w:pPr>
      <w:r w:rsidRPr="00CF6A76">
        <w:rPr>
          <w:rFonts w:ascii="Times New Roman" w:hAnsi="Times New Roman" w:cs="Times New Roman"/>
          <w:i/>
          <w:sz w:val="24"/>
          <w:szCs w:val="24"/>
        </w:rPr>
        <w:tab/>
      </w:r>
      <w:r w:rsidRPr="00CF6A76">
        <w:rPr>
          <w:rFonts w:ascii="Times New Roman" w:hAnsi="Times New Roman" w:cs="Times New Roman"/>
          <w:i/>
          <w:position w:val="-14"/>
          <w:sz w:val="24"/>
          <w:szCs w:val="24"/>
        </w:rPr>
        <w:object w:dxaOrig="6460" w:dyaOrig="380">
          <v:shape id="_x0000_i1035" type="#_x0000_t75" style="width:324pt;height:21.75pt" o:ole="">
            <v:imagedata r:id="rId28" o:title=""/>
          </v:shape>
          <o:OLEObject Type="Embed" ProgID="Equation.DSMT4" ShapeID="_x0000_i1035" DrawAspect="Content" ObjectID="_1745818216" r:id="rId29"/>
        </w:object>
      </w:r>
      <w:r w:rsidRPr="00CF6A76">
        <w:rPr>
          <w:rFonts w:ascii="Times New Roman" w:hAnsi="Times New Roman" w:cs="Times New Roman"/>
          <w:i/>
          <w:sz w:val="24"/>
          <w:szCs w:val="24"/>
        </w:rPr>
        <w:tab/>
      </w:r>
      <w:r w:rsidRPr="00CF6A76">
        <w:rPr>
          <w:rFonts w:ascii="Times New Roman" w:hAnsi="Times New Roman" w:cs="Times New Roman"/>
          <w:i/>
          <w:sz w:val="24"/>
          <w:szCs w:val="24"/>
        </w:rPr>
        <w:tab/>
        <w:t>(5)</w:t>
      </w:r>
    </w:p>
    <w:p w:rsidR="00CF6A76" w:rsidRPr="00CF6A76" w:rsidRDefault="00CF6A76" w:rsidP="00CF6A76">
      <w:pPr>
        <w:spacing w:after="0"/>
        <w:jc w:val="both"/>
        <w:rPr>
          <w:rFonts w:ascii="Times New Roman" w:hAnsi="Times New Roman" w:cs="Times New Roman"/>
          <w:sz w:val="24"/>
          <w:szCs w:val="24"/>
          <w:lang w:eastAsia="en-GB"/>
        </w:rPr>
      </w:pPr>
      <w:r w:rsidRPr="00CF6A76">
        <w:rPr>
          <w:rFonts w:ascii="Times New Roman" w:hAnsi="Times New Roman" w:cs="Times New Roman"/>
          <w:sz w:val="24"/>
          <w:szCs w:val="24"/>
        </w:rPr>
        <w:t xml:space="preserve">Where </w:t>
      </w:r>
      <w:r w:rsidRPr="00CF6A76">
        <w:rPr>
          <w:rFonts w:ascii="Times New Roman" w:hAnsi="Times New Roman" w:cs="Times New Roman"/>
          <w:position w:val="-12"/>
          <w:sz w:val="24"/>
          <w:szCs w:val="24"/>
        </w:rPr>
        <w:object w:dxaOrig="260" w:dyaOrig="360">
          <v:shape id="_x0000_i1036" type="#_x0000_t75" style="width:14.25pt;height:21.75pt" o:ole="">
            <v:imagedata r:id="rId24" o:title=""/>
          </v:shape>
          <o:OLEObject Type="Embed" ProgID="Equation.DSMT4" ShapeID="_x0000_i1036" DrawAspect="Content" ObjectID="_1745818217" r:id="rId30"/>
        </w:object>
      </w:r>
      <w:r w:rsidRPr="00CF6A76">
        <w:rPr>
          <w:rFonts w:ascii="Times New Roman" w:hAnsi="Times New Roman" w:cs="Times New Roman"/>
          <w:sz w:val="24"/>
          <w:szCs w:val="24"/>
        </w:rPr>
        <w:t xml:space="preserve"> is the dependent variable, </w:t>
      </w:r>
      <w:r w:rsidRPr="00CF6A76">
        <w:rPr>
          <w:rFonts w:ascii="Times New Roman" w:hAnsi="Times New Roman" w:cs="Times New Roman"/>
          <w:position w:val="-12"/>
          <w:sz w:val="24"/>
          <w:szCs w:val="24"/>
        </w:rPr>
        <w:object w:dxaOrig="240" w:dyaOrig="360">
          <v:shape id="_x0000_i1037" type="#_x0000_t75" style="width:14.25pt;height:21.75pt" o:ole="">
            <v:imagedata r:id="rId31" o:title=""/>
          </v:shape>
          <o:OLEObject Type="Embed" ProgID="Equation.DSMT4" ShapeID="_x0000_i1037" DrawAspect="Content" ObjectID="_1745818218" r:id="rId32"/>
        </w:object>
      </w:r>
      <w:r w:rsidRPr="00CF6A76">
        <w:rPr>
          <w:rFonts w:ascii="Times New Roman" w:hAnsi="Times New Roman" w:cs="Times New Roman"/>
          <w:sz w:val="24"/>
          <w:szCs w:val="24"/>
        </w:rPr>
        <w:t xml:space="preserve"> is an explanatory variable, and </w:t>
      </w:r>
      <w:r w:rsidRPr="00CF6A76">
        <w:rPr>
          <w:rFonts w:ascii="Times New Roman" w:hAnsi="Times New Roman" w:cs="Times New Roman"/>
          <w:position w:val="-12"/>
          <w:sz w:val="24"/>
          <w:szCs w:val="24"/>
        </w:rPr>
        <w:object w:dxaOrig="240" w:dyaOrig="360">
          <v:shape id="_x0000_i1038" type="#_x0000_t75" style="width:14.25pt;height:21.75pt" o:ole="">
            <v:imagedata r:id="rId33" o:title=""/>
          </v:shape>
          <o:OLEObject Type="Embed" ProgID="Equation.DSMT4" ShapeID="_x0000_i1038" DrawAspect="Content" ObjectID="_1745818219" r:id="rId34"/>
        </w:object>
      </w:r>
      <w:r w:rsidRPr="00CF6A76">
        <w:rPr>
          <w:rFonts w:ascii="Times New Roman" w:hAnsi="Times New Roman" w:cs="Times New Roman"/>
          <w:sz w:val="24"/>
          <w:szCs w:val="24"/>
        </w:rPr>
        <w:t xml:space="preserve"> is a disturbance error term. The model is autoregressive because </w:t>
      </w:r>
      <w:r w:rsidRPr="00CF6A76">
        <w:rPr>
          <w:rFonts w:ascii="Times New Roman" w:hAnsi="Times New Roman" w:cs="Times New Roman"/>
          <w:position w:val="-12"/>
          <w:sz w:val="24"/>
          <w:szCs w:val="24"/>
        </w:rPr>
        <w:object w:dxaOrig="260" w:dyaOrig="360">
          <v:shape id="_x0000_i1039" type="#_x0000_t75" style="width:14.25pt;height:21.75pt" o:ole="">
            <v:imagedata r:id="rId35" o:title=""/>
          </v:shape>
          <o:OLEObject Type="Embed" ProgID="Equation.DSMT4" ShapeID="_x0000_i1039" DrawAspect="Content" ObjectID="_1745818220" r:id="rId36"/>
        </w:object>
      </w:r>
      <w:r w:rsidRPr="00CF6A76">
        <w:rPr>
          <w:rFonts w:ascii="Times New Roman" w:hAnsi="Times New Roman" w:cs="Times New Roman"/>
          <w:sz w:val="24"/>
          <w:szCs w:val="24"/>
        </w:rPr>
        <w:t xml:space="preserve">is explained (in part) by lagged values of itself. Also, it has a distributed lag component in the form of successive lags of the ‘x’ explanatory variable. Sometimes, the current value of </w:t>
      </w:r>
      <w:r w:rsidRPr="00CF6A76">
        <w:rPr>
          <w:rFonts w:ascii="Times New Roman" w:hAnsi="Times New Roman" w:cs="Times New Roman"/>
          <w:position w:val="-12"/>
          <w:sz w:val="24"/>
          <w:szCs w:val="24"/>
        </w:rPr>
        <w:object w:dxaOrig="240" w:dyaOrig="360">
          <v:shape id="_x0000_i1040" type="#_x0000_t75" style="width:14.25pt;height:21.75pt" o:ole="">
            <v:imagedata r:id="rId37" o:title=""/>
          </v:shape>
          <o:OLEObject Type="Embed" ProgID="Equation.DSMT4" ShapeID="_x0000_i1040" DrawAspect="Content" ObjectID="_1745818221" r:id="rId38"/>
        </w:object>
      </w:r>
      <w:r w:rsidRPr="00CF6A76">
        <w:rPr>
          <w:rFonts w:ascii="Times New Roman" w:hAnsi="Times New Roman" w:cs="Times New Roman"/>
          <w:sz w:val="24"/>
          <w:szCs w:val="24"/>
        </w:rPr>
        <w:t xml:space="preserve"> itself is excluded from the distributed lag part of the model’s structure. </w:t>
      </w:r>
      <w:r w:rsidRPr="00CF6A76">
        <w:rPr>
          <w:rFonts w:ascii="Times New Roman" w:hAnsi="Times New Roman" w:cs="Times New Roman"/>
          <w:sz w:val="24"/>
          <w:szCs w:val="24"/>
          <w:lang w:eastAsia="en-GB"/>
        </w:rPr>
        <w:t xml:space="preserve">In this study, the dependent variable which is non-oil export is measured using four (4) different indicators: </w:t>
      </w:r>
      <w:r w:rsidRPr="00CF6A76">
        <w:rPr>
          <w:rFonts w:ascii="Times New Roman" w:hAnsi="Times New Roman" w:cs="Times New Roman"/>
          <w:sz w:val="24"/>
          <w:szCs w:val="24"/>
        </w:rPr>
        <w:t xml:space="preserve">total non-oil export (TNOE), non-oil export as a percentage of GDP (TNOE/GDP), non-oil export as a percentage of total export (TNOE/TE) and Growth rate of non-oil export (GR_TNOE). </w:t>
      </w:r>
      <w:r w:rsidRPr="00CF6A76">
        <w:rPr>
          <w:rFonts w:ascii="Times New Roman" w:hAnsi="Times New Roman" w:cs="Times New Roman"/>
          <w:sz w:val="24"/>
          <w:szCs w:val="24"/>
          <w:lang w:eastAsia="en-GB"/>
        </w:rPr>
        <w:t xml:space="preserve">The explanatory variables are the vector of the variables that include: </w:t>
      </w:r>
      <w:r w:rsidRPr="00CF6A76">
        <w:rPr>
          <w:rFonts w:ascii="Times New Roman" w:hAnsi="Times New Roman" w:cs="Times New Roman"/>
          <w:sz w:val="24"/>
          <w:szCs w:val="24"/>
        </w:rPr>
        <w:t>commercial banks’ credit to non-oil exporters (</w:t>
      </w:r>
      <w:r w:rsidRPr="00CF6A76">
        <w:rPr>
          <w:rFonts w:ascii="Times New Roman" w:hAnsi="Times New Roman" w:cs="Times New Roman"/>
          <w:color w:val="000000"/>
          <w:sz w:val="24"/>
          <w:szCs w:val="24"/>
        </w:rPr>
        <w:t>CBEC), real exchange rate (EXCR), monetary policy rate (MPR), inflation rate (INFR), openness to trade (OPEN) and real gross domestic product (RGDP)</w:t>
      </w:r>
    </w:p>
    <w:p w:rsidR="00CF6A76" w:rsidRPr="00CF6A76" w:rsidRDefault="00CF6A76" w:rsidP="00CF6A76">
      <w:pPr>
        <w:spacing w:before="240" w:after="0"/>
        <w:jc w:val="both"/>
        <w:rPr>
          <w:rFonts w:ascii="Times New Roman" w:hAnsi="Times New Roman" w:cs="Times New Roman"/>
          <w:sz w:val="24"/>
          <w:szCs w:val="24"/>
        </w:rPr>
      </w:pPr>
      <w:r w:rsidRPr="00CF6A76">
        <w:rPr>
          <w:rFonts w:ascii="Times New Roman" w:hAnsi="Times New Roman" w:cs="Times New Roman"/>
          <w:sz w:val="24"/>
          <w:szCs w:val="24"/>
        </w:rPr>
        <w:t>The functional relationship between each of the total non-oil export performance indicators TNOE and the explanatory variables is specified as follows</w:t>
      </w:r>
      <w:r w:rsidRPr="00CF6A76">
        <w:rPr>
          <w:rFonts w:ascii="Times New Roman" w:hAnsi="Times New Roman" w:cs="Times New Roman"/>
          <w:i/>
          <w:sz w:val="24"/>
          <w:szCs w:val="24"/>
        </w:rPr>
        <w:t>:</w:t>
      </w:r>
    </w:p>
    <w:p w:rsidR="00CF6A76" w:rsidRPr="00CF6A76" w:rsidRDefault="00CF6A76" w:rsidP="00CF6A76">
      <w:pPr>
        <w:autoSpaceDE w:val="0"/>
        <w:autoSpaceDN w:val="0"/>
        <w:adjustRightInd w:val="0"/>
        <w:spacing w:after="0"/>
        <w:jc w:val="both"/>
        <w:rPr>
          <w:rFonts w:ascii="Times New Roman" w:hAnsi="Times New Roman" w:cs="Times New Roman"/>
          <w:i/>
          <w:sz w:val="24"/>
          <w:szCs w:val="24"/>
        </w:rPr>
      </w:pPr>
      <w:r w:rsidRPr="00CF6A76">
        <w:rPr>
          <w:rFonts w:ascii="Times New Roman" w:hAnsi="Times New Roman" w:cs="Times New Roman"/>
          <w:i/>
          <w:sz w:val="24"/>
          <w:szCs w:val="24"/>
        </w:rPr>
        <w:lastRenderedPageBreak/>
        <w:tab/>
      </w:r>
      <w:r w:rsidRPr="00CF6A76">
        <w:rPr>
          <w:rFonts w:ascii="Times New Roman" w:hAnsi="Times New Roman" w:cs="Times New Roman"/>
          <w:i/>
          <w:sz w:val="24"/>
          <w:szCs w:val="24"/>
        </w:rPr>
        <w:tab/>
      </w:r>
      <w:r w:rsidRPr="00CF6A76">
        <w:rPr>
          <w:rFonts w:ascii="Times New Roman" w:hAnsi="Times New Roman" w:cs="Times New Roman"/>
          <w:position w:val="-10"/>
          <w:sz w:val="24"/>
          <w:szCs w:val="24"/>
        </w:rPr>
        <w:object w:dxaOrig="4120" w:dyaOrig="320">
          <v:shape id="_x0000_i1041" type="#_x0000_t75" style="width:209.25pt;height:21.75pt" o:ole="">
            <v:imagedata r:id="rId39" o:title=""/>
          </v:shape>
          <o:OLEObject Type="Embed" ProgID="Equation.DSMT4" ShapeID="_x0000_i1041" DrawAspect="Content" ObjectID="_1745818222" r:id="rId40"/>
        </w:object>
      </w:r>
      <w:r w:rsidRPr="00CF6A76">
        <w:rPr>
          <w:rFonts w:ascii="Times New Roman" w:hAnsi="Times New Roman" w:cs="Times New Roman"/>
          <w:i/>
          <w:sz w:val="24"/>
          <w:szCs w:val="24"/>
        </w:rPr>
        <w:tab/>
      </w:r>
      <w:r w:rsidRPr="00CF6A76">
        <w:rPr>
          <w:rFonts w:ascii="Times New Roman" w:hAnsi="Times New Roman" w:cs="Times New Roman"/>
          <w:i/>
          <w:sz w:val="24"/>
          <w:szCs w:val="24"/>
        </w:rPr>
        <w:tab/>
      </w:r>
      <w:r w:rsidRPr="00CF6A76">
        <w:rPr>
          <w:rFonts w:ascii="Times New Roman" w:hAnsi="Times New Roman" w:cs="Times New Roman"/>
          <w:i/>
          <w:sz w:val="24"/>
          <w:szCs w:val="24"/>
        </w:rPr>
        <w:tab/>
      </w:r>
      <w:r w:rsidRPr="00CF6A76">
        <w:rPr>
          <w:rFonts w:ascii="Times New Roman" w:hAnsi="Times New Roman" w:cs="Times New Roman"/>
          <w:i/>
          <w:sz w:val="24"/>
          <w:szCs w:val="24"/>
        </w:rPr>
        <w:tab/>
        <w:t xml:space="preserve">       (6)</w:t>
      </w:r>
      <w:r w:rsidRPr="00CF6A76">
        <w:rPr>
          <w:rFonts w:ascii="Times New Roman" w:hAnsi="Times New Roman" w:cs="Times New Roman"/>
          <w:i/>
          <w:sz w:val="24"/>
          <w:szCs w:val="24"/>
        </w:rPr>
        <w:tab/>
      </w:r>
    </w:p>
    <w:p w:rsidR="00CF6A76" w:rsidRPr="00CF6A76" w:rsidRDefault="00CF6A76" w:rsidP="00CF6A76">
      <w:pPr>
        <w:autoSpaceDE w:val="0"/>
        <w:autoSpaceDN w:val="0"/>
        <w:adjustRightInd w:val="0"/>
        <w:spacing w:after="0"/>
        <w:jc w:val="both"/>
        <w:rPr>
          <w:rFonts w:ascii="Times New Roman" w:hAnsi="Times New Roman" w:cs="Times New Roman"/>
          <w:i/>
          <w:sz w:val="24"/>
          <w:szCs w:val="24"/>
        </w:rPr>
      </w:pPr>
      <w:r w:rsidRPr="00CF6A76">
        <w:rPr>
          <w:rFonts w:ascii="Times New Roman" w:hAnsi="Times New Roman" w:cs="Times New Roman"/>
          <w:sz w:val="24"/>
          <w:szCs w:val="24"/>
        </w:rPr>
        <w:tab/>
      </w:r>
      <w:r w:rsidRPr="00CF6A76">
        <w:rPr>
          <w:rFonts w:ascii="Times New Roman" w:hAnsi="Times New Roman" w:cs="Times New Roman"/>
          <w:sz w:val="24"/>
          <w:szCs w:val="24"/>
        </w:rPr>
        <w:tab/>
      </w:r>
      <w:r w:rsidRPr="00CF6A76">
        <w:rPr>
          <w:rFonts w:ascii="Times New Roman" w:hAnsi="Times New Roman" w:cs="Times New Roman"/>
          <w:position w:val="-10"/>
          <w:sz w:val="24"/>
          <w:szCs w:val="24"/>
        </w:rPr>
        <w:object w:dxaOrig="4640" w:dyaOrig="320">
          <v:shape id="_x0000_i1042" type="#_x0000_t75" style="width:230.25pt;height:21.75pt" o:ole="">
            <v:imagedata r:id="rId41" o:title=""/>
          </v:shape>
          <o:OLEObject Type="Embed" ProgID="Equation.DSMT4" ShapeID="_x0000_i1042" DrawAspect="Content" ObjectID="_1745818223" r:id="rId42"/>
        </w:object>
      </w:r>
      <w:r w:rsidRPr="00CF6A76">
        <w:rPr>
          <w:rFonts w:ascii="Times New Roman" w:hAnsi="Times New Roman" w:cs="Times New Roman"/>
          <w:sz w:val="24"/>
          <w:szCs w:val="24"/>
        </w:rPr>
        <w:tab/>
      </w:r>
      <w:r w:rsidRPr="00CF6A76">
        <w:rPr>
          <w:rFonts w:ascii="Times New Roman" w:hAnsi="Times New Roman" w:cs="Times New Roman"/>
          <w:sz w:val="24"/>
          <w:szCs w:val="24"/>
        </w:rPr>
        <w:tab/>
        <w:t xml:space="preserve">                       (7)</w:t>
      </w:r>
    </w:p>
    <w:p w:rsidR="00CF6A76" w:rsidRPr="00CF6A76" w:rsidRDefault="00CF6A76" w:rsidP="00CF6A76">
      <w:pPr>
        <w:autoSpaceDE w:val="0"/>
        <w:autoSpaceDN w:val="0"/>
        <w:adjustRightInd w:val="0"/>
        <w:spacing w:after="0"/>
        <w:jc w:val="both"/>
        <w:rPr>
          <w:rFonts w:ascii="Times New Roman" w:hAnsi="Times New Roman" w:cs="Times New Roman"/>
          <w:i/>
          <w:sz w:val="24"/>
          <w:szCs w:val="24"/>
        </w:rPr>
      </w:pPr>
      <w:r w:rsidRPr="00CF6A76">
        <w:rPr>
          <w:rFonts w:ascii="Times New Roman" w:hAnsi="Times New Roman" w:cs="Times New Roman"/>
          <w:sz w:val="24"/>
          <w:szCs w:val="24"/>
        </w:rPr>
        <w:tab/>
      </w:r>
      <w:r w:rsidRPr="00CF6A76">
        <w:rPr>
          <w:rFonts w:ascii="Times New Roman" w:hAnsi="Times New Roman" w:cs="Times New Roman"/>
          <w:sz w:val="24"/>
          <w:szCs w:val="24"/>
        </w:rPr>
        <w:tab/>
      </w:r>
      <w:r w:rsidRPr="00CF6A76">
        <w:rPr>
          <w:rFonts w:ascii="Times New Roman" w:hAnsi="Times New Roman" w:cs="Times New Roman"/>
          <w:position w:val="-10"/>
          <w:sz w:val="24"/>
          <w:szCs w:val="24"/>
        </w:rPr>
        <w:object w:dxaOrig="4440" w:dyaOrig="320">
          <v:shape id="_x0000_i1043" type="#_x0000_t75" style="width:222.75pt;height:21.75pt" o:ole="">
            <v:imagedata r:id="rId43" o:title=""/>
          </v:shape>
          <o:OLEObject Type="Embed" ProgID="Equation.DSMT4" ShapeID="_x0000_i1043" DrawAspect="Content" ObjectID="_1745818224" r:id="rId44"/>
        </w:object>
      </w:r>
      <w:r w:rsidRPr="00CF6A76">
        <w:rPr>
          <w:rFonts w:ascii="Times New Roman" w:hAnsi="Times New Roman" w:cs="Times New Roman"/>
          <w:sz w:val="24"/>
          <w:szCs w:val="24"/>
        </w:rPr>
        <w:tab/>
      </w:r>
      <w:r w:rsidRPr="00CF6A76">
        <w:rPr>
          <w:rFonts w:ascii="Times New Roman" w:hAnsi="Times New Roman" w:cs="Times New Roman"/>
          <w:sz w:val="24"/>
          <w:szCs w:val="24"/>
        </w:rPr>
        <w:tab/>
        <w:t xml:space="preserve">                       (8)</w:t>
      </w:r>
    </w:p>
    <w:p w:rsidR="00CF6A76" w:rsidRPr="00CF6A76" w:rsidRDefault="00CF6A76" w:rsidP="00CF6A76">
      <w:pPr>
        <w:jc w:val="both"/>
        <w:rPr>
          <w:rFonts w:ascii="Times New Roman" w:hAnsi="Times New Roman" w:cs="Times New Roman"/>
          <w:sz w:val="24"/>
          <w:szCs w:val="24"/>
        </w:rPr>
      </w:pPr>
      <w:r w:rsidRPr="00CF6A76">
        <w:rPr>
          <w:rFonts w:ascii="Times New Roman" w:hAnsi="Times New Roman" w:cs="Times New Roman"/>
          <w:sz w:val="24"/>
          <w:szCs w:val="24"/>
        </w:rPr>
        <w:tab/>
      </w:r>
      <w:r w:rsidRPr="00CF6A76">
        <w:rPr>
          <w:rFonts w:ascii="Times New Roman" w:hAnsi="Times New Roman" w:cs="Times New Roman"/>
          <w:sz w:val="24"/>
          <w:szCs w:val="24"/>
        </w:rPr>
        <w:tab/>
      </w:r>
      <w:r w:rsidRPr="00CF6A76">
        <w:rPr>
          <w:rFonts w:ascii="Times New Roman" w:hAnsi="Times New Roman" w:cs="Times New Roman"/>
          <w:position w:val="-10"/>
          <w:sz w:val="24"/>
          <w:szCs w:val="24"/>
        </w:rPr>
        <w:object w:dxaOrig="4560" w:dyaOrig="320">
          <v:shape id="_x0000_i1044" type="#_x0000_t75" style="width:230.25pt;height:21.75pt" o:ole="">
            <v:imagedata r:id="rId45" o:title=""/>
          </v:shape>
          <o:OLEObject Type="Embed" ProgID="Equation.DSMT4" ShapeID="_x0000_i1044" DrawAspect="Content" ObjectID="_1745818225" r:id="rId46"/>
        </w:object>
      </w:r>
      <w:r w:rsidRPr="00CF6A76">
        <w:rPr>
          <w:rFonts w:ascii="Times New Roman" w:hAnsi="Times New Roman" w:cs="Times New Roman"/>
          <w:sz w:val="24"/>
          <w:szCs w:val="24"/>
        </w:rPr>
        <w:tab/>
      </w:r>
      <w:r w:rsidRPr="00CF6A76">
        <w:rPr>
          <w:rFonts w:ascii="Times New Roman" w:hAnsi="Times New Roman" w:cs="Times New Roman"/>
          <w:sz w:val="24"/>
          <w:szCs w:val="24"/>
        </w:rPr>
        <w:tab/>
      </w:r>
      <w:r w:rsidRPr="00CF6A76">
        <w:rPr>
          <w:rFonts w:ascii="Times New Roman" w:hAnsi="Times New Roman" w:cs="Times New Roman"/>
          <w:sz w:val="24"/>
          <w:szCs w:val="24"/>
        </w:rPr>
        <w:tab/>
        <w:t xml:space="preserve">          (9)</w:t>
      </w:r>
    </w:p>
    <w:p w:rsidR="00CF6A76" w:rsidRPr="00CF6A76" w:rsidRDefault="00CF6A76" w:rsidP="00CF6A76">
      <w:pPr>
        <w:spacing w:before="240"/>
        <w:jc w:val="both"/>
        <w:rPr>
          <w:rFonts w:ascii="Times New Roman" w:hAnsi="Times New Roman" w:cs="Times New Roman"/>
          <w:sz w:val="24"/>
          <w:szCs w:val="24"/>
        </w:rPr>
      </w:pPr>
      <w:r w:rsidRPr="00CF6A76">
        <w:rPr>
          <w:rFonts w:ascii="Times New Roman" w:hAnsi="Times New Roman" w:cs="Times New Roman"/>
          <w:sz w:val="24"/>
          <w:szCs w:val="24"/>
        </w:rPr>
        <w:t>Mathematically, the econometric specification of the ARDL for the above relation is shown as:</w:t>
      </w:r>
    </w:p>
    <w:p w:rsidR="00CF6A76" w:rsidRPr="00CF6A76" w:rsidRDefault="00CF6A76" w:rsidP="00CF6A76">
      <w:pPr>
        <w:autoSpaceDE w:val="0"/>
        <w:autoSpaceDN w:val="0"/>
        <w:adjustRightInd w:val="0"/>
        <w:spacing w:after="0"/>
        <w:jc w:val="both"/>
        <w:rPr>
          <w:rFonts w:ascii="Times New Roman" w:hAnsi="Times New Roman" w:cs="Times New Roman"/>
          <w:sz w:val="24"/>
          <w:szCs w:val="24"/>
        </w:rPr>
      </w:pPr>
      <w:r w:rsidRPr="00CF6A76">
        <w:rPr>
          <w:rFonts w:ascii="Times New Roman" w:hAnsi="Times New Roman" w:cs="Times New Roman"/>
          <w:position w:val="-46"/>
          <w:sz w:val="24"/>
          <w:szCs w:val="24"/>
        </w:rPr>
        <w:object w:dxaOrig="12019" w:dyaOrig="1040">
          <v:shape id="_x0000_i1045" type="#_x0000_t75" style="width:468pt;height:43.5pt" o:ole="">
            <v:imagedata r:id="rId47" o:title=""/>
          </v:shape>
          <o:OLEObject Type="Embed" ProgID="Equation.DSMT4" ShapeID="_x0000_i1045" DrawAspect="Content" ObjectID="_1745818226" r:id="rId48"/>
        </w:object>
      </w:r>
    </w:p>
    <w:p w:rsidR="00CF6A76" w:rsidRPr="00CF6A76" w:rsidRDefault="00CF6A76" w:rsidP="00CF6A76">
      <w:pPr>
        <w:autoSpaceDE w:val="0"/>
        <w:autoSpaceDN w:val="0"/>
        <w:adjustRightInd w:val="0"/>
        <w:spacing w:after="0"/>
        <w:jc w:val="both"/>
        <w:rPr>
          <w:rFonts w:ascii="Times New Roman" w:hAnsi="Times New Roman" w:cs="Times New Roman"/>
          <w:sz w:val="24"/>
          <w:szCs w:val="24"/>
        </w:rPr>
      </w:pPr>
      <w:r w:rsidRPr="00CF6A76">
        <w:rPr>
          <w:rFonts w:ascii="Times New Roman" w:hAnsi="Times New Roman" w:cs="Times New Roman"/>
          <w:position w:val="-46"/>
          <w:sz w:val="24"/>
          <w:szCs w:val="24"/>
        </w:rPr>
        <w:object w:dxaOrig="12720" w:dyaOrig="1040">
          <v:shape id="_x0000_i1046" type="#_x0000_t75" style="width:461.25pt;height:43.5pt" o:ole="">
            <v:imagedata r:id="rId49" o:title=""/>
          </v:shape>
          <o:OLEObject Type="Embed" ProgID="Equation.DSMT4" ShapeID="_x0000_i1046" DrawAspect="Content" ObjectID="_1745818227" r:id="rId50"/>
        </w:object>
      </w:r>
    </w:p>
    <w:p w:rsidR="00CF6A76" w:rsidRPr="00CF6A76" w:rsidRDefault="00CF6A76" w:rsidP="00CF6A76">
      <w:pPr>
        <w:autoSpaceDE w:val="0"/>
        <w:autoSpaceDN w:val="0"/>
        <w:adjustRightInd w:val="0"/>
        <w:spacing w:after="0"/>
        <w:jc w:val="both"/>
        <w:rPr>
          <w:rFonts w:ascii="Times New Roman" w:hAnsi="Times New Roman" w:cs="Times New Roman"/>
          <w:sz w:val="24"/>
          <w:szCs w:val="24"/>
        </w:rPr>
      </w:pPr>
      <w:r w:rsidRPr="00CF6A76">
        <w:rPr>
          <w:rFonts w:ascii="Times New Roman" w:hAnsi="Times New Roman" w:cs="Times New Roman"/>
          <w:position w:val="-46"/>
          <w:sz w:val="24"/>
          <w:szCs w:val="24"/>
        </w:rPr>
        <w:object w:dxaOrig="12739" w:dyaOrig="1040">
          <v:shape id="_x0000_i1047" type="#_x0000_t75" style="width:460.5pt;height:43.5pt" o:ole="">
            <v:imagedata r:id="rId51" o:title=""/>
          </v:shape>
          <o:OLEObject Type="Embed" ProgID="Equation.DSMT4" ShapeID="_x0000_i1047" DrawAspect="Content" ObjectID="_1745818228" r:id="rId52"/>
        </w:object>
      </w:r>
    </w:p>
    <w:p w:rsidR="00CF6A76" w:rsidRPr="00CF6A76" w:rsidRDefault="00CF6A76" w:rsidP="00CF6A76">
      <w:pPr>
        <w:autoSpaceDE w:val="0"/>
        <w:autoSpaceDN w:val="0"/>
        <w:adjustRightInd w:val="0"/>
        <w:spacing w:after="0"/>
        <w:jc w:val="both"/>
        <w:rPr>
          <w:rFonts w:ascii="Times New Roman" w:hAnsi="Times New Roman" w:cs="Times New Roman"/>
          <w:sz w:val="24"/>
          <w:szCs w:val="24"/>
        </w:rPr>
      </w:pPr>
      <w:r w:rsidRPr="00CF6A76">
        <w:rPr>
          <w:rFonts w:ascii="Times New Roman" w:hAnsi="Times New Roman" w:cs="Times New Roman"/>
          <w:position w:val="-46"/>
          <w:sz w:val="24"/>
          <w:szCs w:val="24"/>
        </w:rPr>
        <w:object w:dxaOrig="12720" w:dyaOrig="1040">
          <v:shape id="_x0000_i1048" type="#_x0000_t75" style="width:461.25pt;height:43.5pt" o:ole="">
            <v:imagedata r:id="rId53" o:title=""/>
          </v:shape>
          <o:OLEObject Type="Embed" ProgID="Equation.DSMT4" ShapeID="_x0000_i1048" DrawAspect="Content" ObjectID="_1745818229" r:id="rId54"/>
        </w:object>
      </w:r>
      <w:r w:rsidRPr="00CF6A76">
        <w:rPr>
          <w:rFonts w:ascii="Times New Roman" w:eastAsia="Calibri" w:hAnsi="Times New Roman" w:cs="Times New Roman"/>
          <w:sz w:val="24"/>
          <w:szCs w:val="24"/>
        </w:rPr>
        <w:tab/>
      </w:r>
    </w:p>
    <w:p w:rsidR="00CF6A76" w:rsidRPr="00CF6A76" w:rsidRDefault="00CF6A76" w:rsidP="00CF6A76">
      <w:pPr>
        <w:spacing w:before="240"/>
        <w:rPr>
          <w:rFonts w:ascii="Times New Roman" w:hAnsi="Times New Roman" w:cs="Times New Roman"/>
          <w:sz w:val="24"/>
          <w:szCs w:val="24"/>
        </w:rPr>
      </w:pPr>
      <w:r w:rsidRPr="00CF6A76">
        <w:rPr>
          <w:rFonts w:ascii="Times New Roman" w:hAnsi="Times New Roman" w:cs="Times New Roman"/>
          <w:sz w:val="24"/>
          <w:szCs w:val="24"/>
        </w:rPr>
        <w:t>The short-run estimate from the error correction mechanism derived from the long-run relationship is presented as follows:</w:t>
      </w:r>
    </w:p>
    <w:p w:rsidR="00CF6A76" w:rsidRPr="00CF6A76" w:rsidRDefault="00CF6A76" w:rsidP="00CF6A76">
      <w:pPr>
        <w:spacing w:after="0"/>
        <w:rPr>
          <w:rFonts w:ascii="Times New Roman" w:hAnsi="Times New Roman" w:cs="Times New Roman"/>
          <w:sz w:val="24"/>
          <w:szCs w:val="24"/>
        </w:rPr>
      </w:pPr>
      <w:r w:rsidRPr="00CF6A76">
        <w:rPr>
          <w:rFonts w:ascii="Times New Roman" w:hAnsi="Times New Roman" w:cs="Times New Roman"/>
          <w:position w:val="-14"/>
          <w:sz w:val="24"/>
          <w:szCs w:val="24"/>
        </w:rPr>
        <w:object w:dxaOrig="12739" w:dyaOrig="400">
          <v:shape id="_x0000_i1049" type="#_x0000_t75" style="width:468pt;height:14.25pt" o:ole="">
            <v:imagedata r:id="rId55" o:title=""/>
          </v:shape>
          <o:OLEObject Type="Embed" ProgID="Equation.DSMT4" ShapeID="_x0000_i1049" DrawAspect="Content" ObjectID="_1745818230" r:id="rId56"/>
        </w:object>
      </w:r>
    </w:p>
    <w:p w:rsidR="00CF6A76" w:rsidRPr="00CF6A76" w:rsidRDefault="00CF6A76" w:rsidP="00CF6A76">
      <w:pPr>
        <w:spacing w:after="0"/>
        <w:rPr>
          <w:rFonts w:ascii="Times New Roman" w:hAnsi="Times New Roman" w:cs="Times New Roman"/>
          <w:sz w:val="24"/>
          <w:szCs w:val="24"/>
        </w:rPr>
      </w:pPr>
      <w:r w:rsidRPr="00CF6A76">
        <w:rPr>
          <w:rFonts w:ascii="Times New Roman" w:hAnsi="Times New Roman" w:cs="Times New Roman"/>
          <w:position w:val="-14"/>
          <w:sz w:val="24"/>
          <w:szCs w:val="24"/>
        </w:rPr>
        <w:object w:dxaOrig="13440" w:dyaOrig="400">
          <v:shape id="_x0000_i1050" type="#_x0000_t75" style="width:468pt;height:21.75pt" o:ole="">
            <v:imagedata r:id="rId57" o:title=""/>
          </v:shape>
          <o:OLEObject Type="Embed" ProgID="Equation.DSMT4" ShapeID="_x0000_i1050" DrawAspect="Content" ObjectID="_1745818231" r:id="rId58"/>
        </w:object>
      </w:r>
    </w:p>
    <w:p w:rsidR="00CF6A76" w:rsidRPr="00CF6A76" w:rsidRDefault="00CF6A76" w:rsidP="00CF6A76">
      <w:pPr>
        <w:spacing w:after="0"/>
        <w:rPr>
          <w:rFonts w:ascii="Times New Roman" w:hAnsi="Times New Roman" w:cs="Times New Roman"/>
          <w:sz w:val="24"/>
          <w:szCs w:val="24"/>
        </w:rPr>
      </w:pPr>
      <w:r w:rsidRPr="00CF6A76">
        <w:rPr>
          <w:rFonts w:ascii="Times New Roman" w:hAnsi="Times New Roman" w:cs="Times New Roman"/>
          <w:position w:val="-14"/>
          <w:sz w:val="24"/>
          <w:szCs w:val="24"/>
        </w:rPr>
        <w:object w:dxaOrig="12739" w:dyaOrig="400">
          <v:shape id="_x0000_i1051" type="#_x0000_t75" style="width:468pt;height:14.25pt" o:ole="">
            <v:imagedata r:id="rId59" o:title=""/>
          </v:shape>
          <o:OLEObject Type="Embed" ProgID="Equation.DSMT4" ShapeID="_x0000_i1051" DrawAspect="Content" ObjectID="_1745818232" r:id="rId60"/>
        </w:object>
      </w:r>
    </w:p>
    <w:p w:rsidR="00CF6A76" w:rsidRPr="00CF6A76" w:rsidRDefault="00CF6A76" w:rsidP="00CF6A76">
      <w:pPr>
        <w:spacing w:after="0"/>
        <w:rPr>
          <w:rFonts w:ascii="Times New Roman" w:hAnsi="Times New Roman" w:cs="Times New Roman"/>
          <w:sz w:val="24"/>
          <w:szCs w:val="24"/>
        </w:rPr>
      </w:pPr>
      <w:r w:rsidRPr="00CF6A76">
        <w:rPr>
          <w:rFonts w:ascii="Times New Roman" w:hAnsi="Times New Roman" w:cs="Times New Roman"/>
          <w:position w:val="-14"/>
          <w:sz w:val="24"/>
          <w:szCs w:val="24"/>
        </w:rPr>
        <w:object w:dxaOrig="13459" w:dyaOrig="400">
          <v:shape id="_x0000_i1052" type="#_x0000_t75" style="width:468pt;height:21.75pt" o:ole="">
            <v:imagedata r:id="rId61" o:title=""/>
          </v:shape>
          <o:OLEObject Type="Embed" ProgID="Equation.DSMT4" ShapeID="_x0000_i1052" DrawAspect="Content" ObjectID="_1745818233" r:id="rId62"/>
        </w:object>
      </w:r>
    </w:p>
    <w:p w:rsidR="00CF6A76" w:rsidRDefault="00CF6A76" w:rsidP="00CF6A76">
      <w:pPr>
        <w:spacing w:after="0"/>
        <w:jc w:val="both"/>
        <w:rPr>
          <w:rFonts w:ascii="Times New Roman" w:hAnsi="Times New Roman" w:cs="Times New Roman"/>
          <w:sz w:val="24"/>
          <w:szCs w:val="24"/>
        </w:rPr>
      </w:pPr>
      <w:r w:rsidRPr="00CF6A76">
        <w:rPr>
          <w:rFonts w:ascii="Times New Roman" w:hAnsi="Times New Roman" w:cs="Times New Roman"/>
          <w:sz w:val="24"/>
          <w:szCs w:val="24"/>
        </w:rPr>
        <w:t>where</w:t>
      </w:r>
      <w:r w:rsidRPr="00CF6A76">
        <w:rPr>
          <w:rFonts w:ascii="Times New Roman" w:hAnsi="Times New Roman" w:cs="Times New Roman"/>
          <w:b/>
          <w:sz w:val="24"/>
          <w:szCs w:val="24"/>
        </w:rPr>
        <w:t xml:space="preserve"> </w:t>
      </w:r>
      <w:r w:rsidRPr="00CF6A76">
        <w:rPr>
          <w:rFonts w:ascii="Times New Roman" w:hAnsi="Times New Roman" w:cs="Times New Roman"/>
          <w:b/>
          <w:position w:val="-4"/>
          <w:sz w:val="24"/>
          <w:szCs w:val="24"/>
        </w:rPr>
        <w:object w:dxaOrig="220" w:dyaOrig="260">
          <v:shape id="_x0000_i1053" type="#_x0000_t75" style="width:14.25pt;height:14.25pt" o:ole="">
            <v:imagedata r:id="rId63" o:title=""/>
          </v:shape>
          <o:OLEObject Type="Embed" ProgID="Equation.DSMT4" ShapeID="_x0000_i1053" DrawAspect="Content" ObjectID="_1745818234" r:id="rId64"/>
        </w:object>
      </w:r>
      <w:r w:rsidRPr="00CF6A76">
        <w:rPr>
          <w:rFonts w:ascii="Times New Roman" w:hAnsi="Times New Roman" w:cs="Times New Roman"/>
          <w:b/>
          <w:sz w:val="24"/>
          <w:szCs w:val="24"/>
        </w:rPr>
        <w:t xml:space="preserve"> </w:t>
      </w:r>
      <w:r w:rsidRPr="00CF6A76">
        <w:rPr>
          <w:rFonts w:ascii="Times New Roman" w:hAnsi="Times New Roman" w:cs="Times New Roman"/>
          <w:sz w:val="24"/>
          <w:szCs w:val="24"/>
        </w:rPr>
        <w:t xml:space="preserve">represents the first difference operator; </w:t>
      </w:r>
      <w:r w:rsidRPr="00CF6A76">
        <w:rPr>
          <w:rFonts w:ascii="Times New Roman" w:hAnsi="Times New Roman" w:cs="Times New Roman"/>
          <w:position w:val="-12"/>
          <w:sz w:val="24"/>
          <w:szCs w:val="24"/>
        </w:rPr>
        <w:object w:dxaOrig="279" w:dyaOrig="360">
          <v:shape id="_x0000_i1054" type="#_x0000_t75" style="width:14.25pt;height:21.75pt" o:ole="">
            <v:imagedata r:id="rId65" o:title=""/>
          </v:shape>
          <o:OLEObject Type="Embed" ProgID="Equation.DSMT4" ShapeID="_x0000_i1054" DrawAspect="Content" ObjectID="_1745818235" r:id="rId66"/>
        </w:object>
      </w:r>
      <w:r w:rsidRPr="00CF6A76">
        <w:rPr>
          <w:rFonts w:ascii="Times New Roman" w:hAnsi="Times New Roman" w:cs="Times New Roman"/>
          <w:sz w:val="24"/>
          <w:szCs w:val="24"/>
        </w:rPr>
        <w:t xml:space="preserve"> is a white-noise disturbance error term; </w:t>
      </w:r>
      <w:r w:rsidRPr="00CF6A76">
        <w:rPr>
          <w:rFonts w:ascii="Times New Roman" w:hAnsi="Times New Roman" w:cs="Times New Roman"/>
          <w:i/>
          <w:sz w:val="24"/>
          <w:szCs w:val="24"/>
        </w:rPr>
        <w:t>t</w:t>
      </w:r>
      <w:r w:rsidRPr="00CF6A76">
        <w:rPr>
          <w:rFonts w:ascii="Times New Roman" w:hAnsi="Times New Roman" w:cs="Times New Roman"/>
          <w:sz w:val="24"/>
          <w:szCs w:val="24"/>
        </w:rPr>
        <w:t xml:space="preserve"> is the time; </w:t>
      </w:r>
      <w:proofErr w:type="spellStart"/>
      <w:r w:rsidRPr="00CF6A76">
        <w:rPr>
          <w:rFonts w:ascii="Times New Roman" w:hAnsi="Times New Roman" w:cs="Times New Roman"/>
          <w:i/>
          <w:sz w:val="24"/>
          <w:szCs w:val="24"/>
        </w:rPr>
        <w:t>i</w:t>
      </w:r>
      <w:proofErr w:type="spellEnd"/>
      <w:r w:rsidRPr="00CF6A76">
        <w:rPr>
          <w:rFonts w:ascii="Times New Roman" w:hAnsi="Times New Roman" w:cs="Times New Roman"/>
          <w:sz w:val="24"/>
          <w:szCs w:val="24"/>
        </w:rPr>
        <w:t xml:space="preserve"> denotes the lag(s) being considered; </w:t>
      </w:r>
      <w:r w:rsidRPr="00CF6A76">
        <w:rPr>
          <w:rFonts w:ascii="Times New Roman" w:hAnsi="Times New Roman" w:cs="Times New Roman"/>
          <w:position w:val="-10"/>
          <w:sz w:val="24"/>
          <w:szCs w:val="24"/>
        </w:rPr>
        <w:object w:dxaOrig="240" w:dyaOrig="320">
          <v:shape id="_x0000_i1055" type="#_x0000_t75" style="width:14.25pt;height:14.25pt" o:ole="">
            <v:imagedata r:id="rId67" o:title=""/>
          </v:shape>
          <o:OLEObject Type="Embed" ProgID="Equation.DSMT4" ShapeID="_x0000_i1055" DrawAspect="Content" ObjectID="_1745818236" r:id="rId68"/>
        </w:object>
      </w:r>
      <w:r w:rsidRPr="00CF6A76">
        <w:rPr>
          <w:rFonts w:ascii="Times New Roman" w:hAnsi="Times New Roman" w:cs="Times New Roman"/>
          <w:sz w:val="24"/>
          <w:szCs w:val="24"/>
        </w:rPr>
        <w:t xml:space="preserve"> and </w:t>
      </w:r>
      <w:r w:rsidRPr="00CF6A76">
        <w:rPr>
          <w:rFonts w:ascii="Times New Roman" w:hAnsi="Times New Roman" w:cs="Times New Roman"/>
          <w:position w:val="-10"/>
          <w:sz w:val="24"/>
          <w:szCs w:val="24"/>
        </w:rPr>
        <w:object w:dxaOrig="200" w:dyaOrig="320">
          <v:shape id="_x0000_i1056" type="#_x0000_t75" style="width:7.5pt;height:14.25pt" o:ole="">
            <v:imagedata r:id="rId69" o:title=""/>
          </v:shape>
          <o:OLEObject Type="Embed" ProgID="Equation.DSMT4" ShapeID="_x0000_i1056" DrawAspect="Content" ObjectID="_1745818237" r:id="rId70"/>
        </w:object>
      </w:r>
      <w:r w:rsidRPr="00CF6A76">
        <w:rPr>
          <w:rFonts w:ascii="Times New Roman" w:hAnsi="Times New Roman" w:cs="Times New Roman"/>
          <w:sz w:val="24"/>
          <w:szCs w:val="24"/>
        </w:rPr>
        <w:t xml:space="preserve"> are parameter coefficients to be estimated in the long-run and short-run respectively; ECT is the error correction term, and </w:t>
      </w:r>
      <w:r w:rsidRPr="00CF6A76">
        <w:rPr>
          <w:rFonts w:ascii="Times New Roman" w:hAnsi="Times New Roman" w:cs="Times New Roman"/>
          <w:position w:val="-6"/>
          <w:sz w:val="24"/>
          <w:szCs w:val="24"/>
        </w:rPr>
        <w:object w:dxaOrig="220" w:dyaOrig="279">
          <v:shape id="_x0000_i1057" type="#_x0000_t75" style="width:14.25pt;height:14.25pt" o:ole="">
            <v:imagedata r:id="rId71" o:title=""/>
          </v:shape>
          <o:OLEObject Type="Embed" ProgID="Equation.DSMT4" ShapeID="_x0000_i1057" DrawAspect="Content" ObjectID="_1745818238" r:id="rId72"/>
        </w:object>
      </w:r>
      <w:r w:rsidRPr="00CF6A76">
        <w:rPr>
          <w:rFonts w:ascii="Times New Roman" w:hAnsi="Times New Roman" w:cs="Times New Roman"/>
          <w:sz w:val="24"/>
          <w:szCs w:val="24"/>
        </w:rPr>
        <w:t>is the ECT coefficient, which must be negative, less than zero and significant sign for causality to exist in the long-run. Furthermore, the ARDL bounds test approach for the long-run relationship was based on the Wald test (F-statistic), by imposing restrictions on the long-run estimated coefficients of one period lagged level of each of the explanatory variables to be equal to zero, that is,</w:t>
      </w:r>
      <w:r w:rsidRPr="00CF6A76">
        <w:rPr>
          <w:rFonts w:ascii="Times New Roman" w:hAnsi="Times New Roman" w:cs="Times New Roman"/>
          <w:b/>
          <w:sz w:val="24"/>
          <w:szCs w:val="24"/>
        </w:rPr>
        <w:t xml:space="preserve"> </w:t>
      </w:r>
      <w:r w:rsidRPr="00CF6A76">
        <w:rPr>
          <w:rFonts w:ascii="Times New Roman" w:hAnsi="Times New Roman" w:cs="Times New Roman"/>
          <w:position w:val="-14"/>
          <w:sz w:val="24"/>
          <w:szCs w:val="24"/>
        </w:rPr>
        <w:object w:dxaOrig="2220" w:dyaOrig="400">
          <v:shape id="_x0000_i1058" type="#_x0000_t75" style="width:108pt;height:21.75pt" o:ole="">
            <v:imagedata r:id="rId73" o:title=""/>
          </v:shape>
          <o:OLEObject Type="Embed" ProgID="Equation.DSMT4" ShapeID="_x0000_i1058" DrawAspect="Content" ObjectID="_1745818239" r:id="rId74"/>
        </w:object>
      </w:r>
      <w:r w:rsidRPr="00CF6A76">
        <w:rPr>
          <w:rFonts w:ascii="Times New Roman" w:hAnsi="Times New Roman" w:cs="Times New Roman"/>
          <w:position w:val="-14"/>
          <w:sz w:val="24"/>
          <w:szCs w:val="24"/>
        </w:rPr>
        <w:t xml:space="preserve"> </w:t>
      </w:r>
      <w:r w:rsidRPr="00CF6A76">
        <w:rPr>
          <w:rFonts w:ascii="Times New Roman" w:hAnsi="Times New Roman" w:cs="Times New Roman"/>
          <w:sz w:val="24"/>
          <w:szCs w:val="24"/>
        </w:rPr>
        <w:t>for equations (14-17).</w:t>
      </w:r>
    </w:p>
    <w:p w:rsidR="00CF6A76" w:rsidRPr="00CF6A76" w:rsidRDefault="00CF6A76" w:rsidP="00CF6A76">
      <w:pPr>
        <w:pStyle w:val="T1"/>
      </w:pPr>
      <w:bookmarkStart w:id="13" w:name="_Toc115647334"/>
      <w:r w:rsidRPr="00CF6A76">
        <w:lastRenderedPageBreak/>
        <w:t>Table 1: Variables Definition and Measurements</w:t>
      </w:r>
      <w:bookmarkEnd w:id="9"/>
      <w:bookmarkEnd w:id="10"/>
      <w:bookmarkEnd w:id="11"/>
      <w:bookmarkEnd w:id="13"/>
    </w:p>
    <w:tbl>
      <w:tblPr>
        <w:tblStyle w:val="TableGrid"/>
        <w:tblW w:w="0" w:type="auto"/>
        <w:tblLook w:val="04A0" w:firstRow="1" w:lastRow="0" w:firstColumn="1" w:lastColumn="0" w:noHBand="0" w:noVBand="1"/>
      </w:tblPr>
      <w:tblGrid>
        <w:gridCol w:w="1809"/>
        <w:gridCol w:w="1851"/>
        <w:gridCol w:w="2149"/>
        <w:gridCol w:w="1754"/>
        <w:gridCol w:w="1787"/>
      </w:tblGrid>
      <w:tr w:rsidR="00CF6A76" w:rsidRPr="007C7D36" w:rsidTr="00FE4F82">
        <w:tc>
          <w:tcPr>
            <w:tcW w:w="1809" w:type="dxa"/>
          </w:tcPr>
          <w:p w:rsidR="00CF6A76" w:rsidRPr="007C7D36" w:rsidRDefault="00CF6A76" w:rsidP="007C7D36">
            <w:pPr>
              <w:autoSpaceDE w:val="0"/>
              <w:autoSpaceDN w:val="0"/>
              <w:adjustRightInd w:val="0"/>
              <w:spacing w:after="0" w:line="240" w:lineRule="auto"/>
              <w:jc w:val="both"/>
              <w:rPr>
                <w:rFonts w:ascii="Times New Roman" w:hAnsi="Times New Roman" w:cs="Times New Roman"/>
                <w:sz w:val="20"/>
                <w:szCs w:val="20"/>
              </w:rPr>
            </w:pPr>
            <w:r w:rsidRPr="007C7D36">
              <w:rPr>
                <w:rFonts w:ascii="Times New Roman" w:hAnsi="Times New Roman" w:cs="Times New Roman"/>
                <w:sz w:val="20"/>
                <w:szCs w:val="20"/>
              </w:rPr>
              <w:t>Variables abbreviation</w:t>
            </w:r>
          </w:p>
        </w:tc>
        <w:tc>
          <w:tcPr>
            <w:tcW w:w="1851" w:type="dxa"/>
          </w:tcPr>
          <w:p w:rsidR="00CF6A76" w:rsidRPr="007C7D36" w:rsidRDefault="00CF6A76" w:rsidP="007C7D36">
            <w:pPr>
              <w:autoSpaceDE w:val="0"/>
              <w:autoSpaceDN w:val="0"/>
              <w:adjustRightInd w:val="0"/>
              <w:spacing w:after="0" w:line="240" w:lineRule="auto"/>
              <w:jc w:val="both"/>
              <w:rPr>
                <w:rFonts w:ascii="Times New Roman" w:hAnsi="Times New Roman" w:cs="Times New Roman"/>
                <w:sz w:val="20"/>
                <w:szCs w:val="20"/>
              </w:rPr>
            </w:pPr>
            <w:r w:rsidRPr="007C7D36">
              <w:rPr>
                <w:rFonts w:ascii="Times New Roman" w:hAnsi="Times New Roman" w:cs="Times New Roman"/>
                <w:sz w:val="20"/>
                <w:szCs w:val="20"/>
              </w:rPr>
              <w:t>Variables explanation</w:t>
            </w:r>
          </w:p>
        </w:tc>
        <w:tc>
          <w:tcPr>
            <w:tcW w:w="2149" w:type="dxa"/>
          </w:tcPr>
          <w:p w:rsidR="00CF6A76" w:rsidRPr="007C7D36" w:rsidRDefault="00CF6A76" w:rsidP="007C7D36">
            <w:pPr>
              <w:autoSpaceDE w:val="0"/>
              <w:autoSpaceDN w:val="0"/>
              <w:adjustRightInd w:val="0"/>
              <w:spacing w:after="0" w:line="240" w:lineRule="auto"/>
              <w:jc w:val="both"/>
              <w:rPr>
                <w:rFonts w:ascii="Times New Roman" w:hAnsi="Times New Roman" w:cs="Times New Roman"/>
                <w:sz w:val="20"/>
                <w:szCs w:val="20"/>
              </w:rPr>
            </w:pPr>
            <w:r w:rsidRPr="007C7D36">
              <w:rPr>
                <w:rFonts w:ascii="Times New Roman" w:hAnsi="Times New Roman" w:cs="Times New Roman"/>
                <w:sz w:val="20"/>
                <w:szCs w:val="20"/>
              </w:rPr>
              <w:t>Measurement/proxy</w:t>
            </w:r>
          </w:p>
        </w:tc>
        <w:tc>
          <w:tcPr>
            <w:tcW w:w="1754" w:type="dxa"/>
          </w:tcPr>
          <w:p w:rsidR="00CF6A76" w:rsidRPr="007C7D36" w:rsidRDefault="00CF6A76" w:rsidP="007C7D36">
            <w:pPr>
              <w:autoSpaceDE w:val="0"/>
              <w:autoSpaceDN w:val="0"/>
              <w:adjustRightInd w:val="0"/>
              <w:spacing w:after="0" w:line="240" w:lineRule="auto"/>
              <w:jc w:val="both"/>
              <w:rPr>
                <w:rFonts w:ascii="Times New Roman" w:hAnsi="Times New Roman" w:cs="Times New Roman"/>
                <w:sz w:val="20"/>
                <w:szCs w:val="20"/>
              </w:rPr>
            </w:pPr>
            <w:r w:rsidRPr="007C7D36">
              <w:rPr>
                <w:rFonts w:ascii="Times New Roman" w:hAnsi="Times New Roman" w:cs="Times New Roman"/>
                <w:sz w:val="20"/>
                <w:szCs w:val="20"/>
              </w:rPr>
              <w:t>Expected signs</w:t>
            </w:r>
          </w:p>
        </w:tc>
        <w:tc>
          <w:tcPr>
            <w:tcW w:w="1787" w:type="dxa"/>
          </w:tcPr>
          <w:p w:rsidR="00CF6A76" w:rsidRPr="007C7D36" w:rsidRDefault="00CF6A76" w:rsidP="007C7D36">
            <w:pPr>
              <w:autoSpaceDE w:val="0"/>
              <w:autoSpaceDN w:val="0"/>
              <w:adjustRightInd w:val="0"/>
              <w:spacing w:after="0" w:line="240" w:lineRule="auto"/>
              <w:jc w:val="both"/>
              <w:rPr>
                <w:rFonts w:ascii="Times New Roman" w:hAnsi="Times New Roman" w:cs="Times New Roman"/>
                <w:sz w:val="20"/>
                <w:szCs w:val="20"/>
              </w:rPr>
            </w:pPr>
            <w:r w:rsidRPr="007C7D36">
              <w:rPr>
                <w:rFonts w:ascii="Times New Roman" w:hAnsi="Times New Roman" w:cs="Times New Roman"/>
                <w:sz w:val="20"/>
                <w:szCs w:val="20"/>
              </w:rPr>
              <w:t>Data sources</w:t>
            </w:r>
          </w:p>
        </w:tc>
      </w:tr>
      <w:tr w:rsidR="00CF6A76" w:rsidRPr="007C7D36" w:rsidTr="00FE4F82">
        <w:tc>
          <w:tcPr>
            <w:tcW w:w="1809" w:type="dxa"/>
          </w:tcPr>
          <w:p w:rsidR="00CF6A76" w:rsidRPr="007C7D36" w:rsidRDefault="00CF6A76" w:rsidP="007C7D36">
            <w:pPr>
              <w:spacing w:after="0" w:line="240" w:lineRule="auto"/>
              <w:jc w:val="center"/>
              <w:rPr>
                <w:rFonts w:ascii="Times New Roman" w:hAnsi="Times New Roman" w:cs="Times New Roman"/>
                <w:sz w:val="20"/>
                <w:szCs w:val="20"/>
              </w:rPr>
            </w:pPr>
            <w:r w:rsidRPr="007C7D36">
              <w:rPr>
                <w:rFonts w:ascii="Times New Roman" w:hAnsi="Times New Roman" w:cs="Times New Roman"/>
                <w:color w:val="000000"/>
                <w:sz w:val="20"/>
                <w:szCs w:val="20"/>
              </w:rPr>
              <w:t>TNOE</w:t>
            </w:r>
          </w:p>
        </w:tc>
        <w:tc>
          <w:tcPr>
            <w:tcW w:w="1851" w:type="dxa"/>
          </w:tcPr>
          <w:p w:rsidR="00CF6A76" w:rsidRPr="007C7D36" w:rsidRDefault="00CF6A76" w:rsidP="007C7D36">
            <w:pPr>
              <w:autoSpaceDE w:val="0"/>
              <w:autoSpaceDN w:val="0"/>
              <w:adjustRightInd w:val="0"/>
              <w:spacing w:after="0" w:line="240" w:lineRule="auto"/>
              <w:jc w:val="center"/>
              <w:rPr>
                <w:rFonts w:ascii="Times New Roman" w:hAnsi="Times New Roman" w:cs="Times New Roman"/>
                <w:sz w:val="20"/>
                <w:szCs w:val="20"/>
              </w:rPr>
            </w:pPr>
            <w:r w:rsidRPr="007C7D36">
              <w:rPr>
                <w:rFonts w:ascii="Times New Roman" w:hAnsi="Times New Roman" w:cs="Times New Roman"/>
                <w:sz w:val="20"/>
                <w:szCs w:val="20"/>
              </w:rPr>
              <w:t>Total non-oil export</w:t>
            </w:r>
          </w:p>
        </w:tc>
        <w:tc>
          <w:tcPr>
            <w:tcW w:w="2149" w:type="dxa"/>
          </w:tcPr>
          <w:p w:rsidR="00CF6A76" w:rsidRPr="007C7D36" w:rsidRDefault="00CF6A76" w:rsidP="007C7D36">
            <w:pPr>
              <w:autoSpaceDE w:val="0"/>
              <w:autoSpaceDN w:val="0"/>
              <w:adjustRightInd w:val="0"/>
              <w:spacing w:after="0" w:line="240" w:lineRule="auto"/>
              <w:jc w:val="center"/>
              <w:rPr>
                <w:rFonts w:ascii="Times New Roman" w:hAnsi="Times New Roman" w:cs="Times New Roman"/>
                <w:sz w:val="20"/>
                <w:szCs w:val="20"/>
              </w:rPr>
            </w:pPr>
            <w:r w:rsidRPr="007C7D36">
              <w:rPr>
                <w:rFonts w:ascii="Times New Roman" w:hAnsi="Times New Roman" w:cs="Times New Roman"/>
                <w:sz w:val="20"/>
                <w:szCs w:val="20"/>
              </w:rPr>
              <w:t>Total non-oil export</w:t>
            </w:r>
          </w:p>
        </w:tc>
        <w:tc>
          <w:tcPr>
            <w:tcW w:w="1754" w:type="dxa"/>
          </w:tcPr>
          <w:p w:rsidR="00CF6A76" w:rsidRPr="007C7D36" w:rsidRDefault="00CF6A76" w:rsidP="007C7D36">
            <w:pPr>
              <w:autoSpaceDE w:val="0"/>
              <w:autoSpaceDN w:val="0"/>
              <w:adjustRightInd w:val="0"/>
              <w:spacing w:after="0" w:line="240" w:lineRule="auto"/>
              <w:jc w:val="center"/>
              <w:rPr>
                <w:rFonts w:ascii="Times New Roman" w:hAnsi="Times New Roman" w:cs="Times New Roman"/>
                <w:sz w:val="20"/>
                <w:szCs w:val="20"/>
              </w:rPr>
            </w:pPr>
          </w:p>
        </w:tc>
        <w:tc>
          <w:tcPr>
            <w:tcW w:w="1787" w:type="dxa"/>
          </w:tcPr>
          <w:p w:rsidR="00CF6A76" w:rsidRPr="007C7D36" w:rsidRDefault="00CF6A76" w:rsidP="007C7D36">
            <w:pPr>
              <w:autoSpaceDE w:val="0"/>
              <w:autoSpaceDN w:val="0"/>
              <w:adjustRightInd w:val="0"/>
              <w:spacing w:after="0" w:line="240" w:lineRule="auto"/>
              <w:jc w:val="center"/>
              <w:rPr>
                <w:rFonts w:ascii="Times New Roman" w:hAnsi="Times New Roman" w:cs="Times New Roman"/>
                <w:sz w:val="20"/>
                <w:szCs w:val="20"/>
              </w:rPr>
            </w:pPr>
            <w:r w:rsidRPr="007C7D36">
              <w:rPr>
                <w:rFonts w:ascii="Times New Roman" w:hAnsi="Times New Roman" w:cs="Times New Roman"/>
                <w:sz w:val="20"/>
                <w:szCs w:val="20"/>
              </w:rPr>
              <w:t>CBN</w:t>
            </w:r>
          </w:p>
        </w:tc>
      </w:tr>
      <w:tr w:rsidR="00CF6A76" w:rsidRPr="007C7D36" w:rsidTr="00FE4F82">
        <w:tc>
          <w:tcPr>
            <w:tcW w:w="1809" w:type="dxa"/>
          </w:tcPr>
          <w:p w:rsidR="00CF6A76" w:rsidRPr="007C7D36" w:rsidRDefault="00CF6A76" w:rsidP="007C7D36">
            <w:pPr>
              <w:spacing w:after="0" w:line="240" w:lineRule="auto"/>
              <w:jc w:val="center"/>
              <w:rPr>
                <w:rFonts w:ascii="Times New Roman" w:hAnsi="Times New Roman" w:cs="Times New Roman"/>
                <w:color w:val="000000"/>
                <w:sz w:val="20"/>
                <w:szCs w:val="20"/>
              </w:rPr>
            </w:pPr>
            <w:r w:rsidRPr="007C7D36">
              <w:rPr>
                <w:rFonts w:ascii="Times New Roman" w:hAnsi="Times New Roman" w:cs="Times New Roman"/>
                <w:color w:val="000000"/>
                <w:sz w:val="20"/>
                <w:szCs w:val="20"/>
              </w:rPr>
              <w:t>TNOE/GDP</w:t>
            </w:r>
          </w:p>
        </w:tc>
        <w:tc>
          <w:tcPr>
            <w:tcW w:w="1851" w:type="dxa"/>
          </w:tcPr>
          <w:p w:rsidR="00CF6A76" w:rsidRPr="007C7D36" w:rsidRDefault="00CF6A76" w:rsidP="007C7D36">
            <w:pPr>
              <w:autoSpaceDE w:val="0"/>
              <w:autoSpaceDN w:val="0"/>
              <w:adjustRightInd w:val="0"/>
              <w:spacing w:after="0" w:line="240" w:lineRule="auto"/>
              <w:jc w:val="center"/>
              <w:rPr>
                <w:rFonts w:ascii="Times New Roman" w:hAnsi="Times New Roman" w:cs="Times New Roman"/>
                <w:sz w:val="20"/>
                <w:szCs w:val="20"/>
              </w:rPr>
            </w:pPr>
            <w:r w:rsidRPr="007C7D36">
              <w:rPr>
                <w:rFonts w:ascii="Times New Roman" w:hAnsi="Times New Roman" w:cs="Times New Roman"/>
                <w:sz w:val="20"/>
                <w:szCs w:val="20"/>
              </w:rPr>
              <w:t>non-oil export as a percentage of GDP</w:t>
            </w:r>
          </w:p>
        </w:tc>
        <w:tc>
          <w:tcPr>
            <w:tcW w:w="2149" w:type="dxa"/>
          </w:tcPr>
          <w:p w:rsidR="00CF6A76" w:rsidRPr="007C7D36" w:rsidRDefault="00CF6A76" w:rsidP="007C7D36">
            <w:pPr>
              <w:autoSpaceDE w:val="0"/>
              <w:autoSpaceDN w:val="0"/>
              <w:adjustRightInd w:val="0"/>
              <w:spacing w:after="0" w:line="240" w:lineRule="auto"/>
              <w:jc w:val="center"/>
              <w:rPr>
                <w:rFonts w:ascii="Times New Roman" w:hAnsi="Times New Roman" w:cs="Times New Roman"/>
                <w:sz w:val="20"/>
                <w:szCs w:val="20"/>
              </w:rPr>
            </w:pPr>
            <w:r w:rsidRPr="007C7D36">
              <w:rPr>
                <w:rFonts w:ascii="Times New Roman" w:hAnsi="Times New Roman" w:cs="Times New Roman"/>
                <w:sz w:val="20"/>
                <w:szCs w:val="20"/>
              </w:rPr>
              <w:t>Total non-oil export divided by RGDP</w:t>
            </w:r>
          </w:p>
        </w:tc>
        <w:tc>
          <w:tcPr>
            <w:tcW w:w="1754" w:type="dxa"/>
          </w:tcPr>
          <w:p w:rsidR="00CF6A76" w:rsidRPr="007C7D36" w:rsidRDefault="00CF6A76" w:rsidP="007C7D36">
            <w:pPr>
              <w:autoSpaceDE w:val="0"/>
              <w:autoSpaceDN w:val="0"/>
              <w:adjustRightInd w:val="0"/>
              <w:spacing w:after="0" w:line="240" w:lineRule="auto"/>
              <w:jc w:val="center"/>
              <w:rPr>
                <w:rFonts w:ascii="Times New Roman" w:hAnsi="Times New Roman" w:cs="Times New Roman"/>
                <w:sz w:val="20"/>
                <w:szCs w:val="20"/>
              </w:rPr>
            </w:pPr>
          </w:p>
        </w:tc>
        <w:tc>
          <w:tcPr>
            <w:tcW w:w="1787" w:type="dxa"/>
          </w:tcPr>
          <w:p w:rsidR="00CF6A76" w:rsidRPr="007C7D36" w:rsidRDefault="00CF6A76" w:rsidP="007C7D36">
            <w:pPr>
              <w:autoSpaceDE w:val="0"/>
              <w:autoSpaceDN w:val="0"/>
              <w:adjustRightInd w:val="0"/>
              <w:spacing w:after="0" w:line="240" w:lineRule="auto"/>
              <w:jc w:val="center"/>
              <w:rPr>
                <w:rFonts w:ascii="Times New Roman" w:hAnsi="Times New Roman" w:cs="Times New Roman"/>
                <w:sz w:val="20"/>
                <w:szCs w:val="20"/>
              </w:rPr>
            </w:pPr>
            <w:r w:rsidRPr="007C7D36">
              <w:rPr>
                <w:rFonts w:ascii="Times New Roman" w:hAnsi="Times New Roman" w:cs="Times New Roman"/>
                <w:sz w:val="20"/>
                <w:szCs w:val="20"/>
              </w:rPr>
              <w:t xml:space="preserve">Computed </w:t>
            </w:r>
          </w:p>
        </w:tc>
      </w:tr>
      <w:tr w:rsidR="00CF6A76" w:rsidRPr="007C7D36" w:rsidTr="00FE4F82">
        <w:tc>
          <w:tcPr>
            <w:tcW w:w="1809" w:type="dxa"/>
          </w:tcPr>
          <w:p w:rsidR="00CF6A76" w:rsidRPr="007C7D36" w:rsidRDefault="00CF6A76" w:rsidP="007C7D36">
            <w:pPr>
              <w:spacing w:after="0" w:line="240" w:lineRule="auto"/>
              <w:jc w:val="center"/>
              <w:rPr>
                <w:rFonts w:ascii="Times New Roman" w:hAnsi="Times New Roman" w:cs="Times New Roman"/>
                <w:sz w:val="20"/>
                <w:szCs w:val="20"/>
              </w:rPr>
            </w:pPr>
            <w:r w:rsidRPr="007C7D36">
              <w:rPr>
                <w:rFonts w:ascii="Times New Roman" w:hAnsi="Times New Roman" w:cs="Times New Roman"/>
                <w:color w:val="000000"/>
                <w:sz w:val="20"/>
                <w:szCs w:val="20"/>
              </w:rPr>
              <w:t>GR_TNOE</w:t>
            </w:r>
          </w:p>
        </w:tc>
        <w:tc>
          <w:tcPr>
            <w:tcW w:w="1851" w:type="dxa"/>
          </w:tcPr>
          <w:p w:rsidR="00CF6A76" w:rsidRPr="007C7D36" w:rsidRDefault="00CF6A76" w:rsidP="007C7D36">
            <w:pPr>
              <w:autoSpaceDE w:val="0"/>
              <w:autoSpaceDN w:val="0"/>
              <w:adjustRightInd w:val="0"/>
              <w:spacing w:after="0" w:line="240" w:lineRule="auto"/>
              <w:jc w:val="center"/>
              <w:rPr>
                <w:rFonts w:ascii="Times New Roman" w:hAnsi="Times New Roman" w:cs="Times New Roman"/>
                <w:sz w:val="20"/>
                <w:szCs w:val="20"/>
              </w:rPr>
            </w:pPr>
            <w:r w:rsidRPr="007C7D36">
              <w:rPr>
                <w:rFonts w:ascii="Times New Roman" w:hAnsi="Times New Roman" w:cs="Times New Roman"/>
                <w:sz w:val="20"/>
                <w:szCs w:val="20"/>
              </w:rPr>
              <w:t>Growth rate of non-oil export (%)</w:t>
            </w:r>
          </w:p>
        </w:tc>
        <w:tc>
          <w:tcPr>
            <w:tcW w:w="2149" w:type="dxa"/>
          </w:tcPr>
          <w:p w:rsidR="00CF6A76" w:rsidRPr="007C7D36" w:rsidRDefault="00CF6A76" w:rsidP="007C7D36">
            <w:pPr>
              <w:autoSpaceDE w:val="0"/>
              <w:autoSpaceDN w:val="0"/>
              <w:adjustRightInd w:val="0"/>
              <w:spacing w:after="0" w:line="240" w:lineRule="auto"/>
              <w:jc w:val="center"/>
              <w:rPr>
                <w:rFonts w:ascii="Times New Roman" w:hAnsi="Times New Roman" w:cs="Times New Roman"/>
                <w:sz w:val="20"/>
                <w:szCs w:val="20"/>
              </w:rPr>
            </w:pPr>
            <w:r w:rsidRPr="007C7D36">
              <w:rPr>
                <w:rFonts w:ascii="Times New Roman" w:hAnsi="Times New Roman" w:cs="Times New Roman"/>
                <w:sz w:val="20"/>
                <w:szCs w:val="20"/>
              </w:rPr>
              <w:t>Computed using elasticity approach</w:t>
            </w:r>
          </w:p>
        </w:tc>
        <w:tc>
          <w:tcPr>
            <w:tcW w:w="1754" w:type="dxa"/>
          </w:tcPr>
          <w:p w:rsidR="00CF6A76" w:rsidRPr="007C7D36" w:rsidRDefault="00CF6A76" w:rsidP="007C7D36">
            <w:pPr>
              <w:autoSpaceDE w:val="0"/>
              <w:autoSpaceDN w:val="0"/>
              <w:adjustRightInd w:val="0"/>
              <w:spacing w:after="0" w:line="240" w:lineRule="auto"/>
              <w:jc w:val="center"/>
              <w:rPr>
                <w:rFonts w:ascii="Times New Roman" w:hAnsi="Times New Roman" w:cs="Times New Roman"/>
                <w:sz w:val="20"/>
                <w:szCs w:val="20"/>
              </w:rPr>
            </w:pPr>
          </w:p>
        </w:tc>
        <w:tc>
          <w:tcPr>
            <w:tcW w:w="1787" w:type="dxa"/>
          </w:tcPr>
          <w:p w:rsidR="00CF6A76" w:rsidRPr="007C7D36" w:rsidRDefault="00CF6A76" w:rsidP="007C7D36">
            <w:pPr>
              <w:autoSpaceDE w:val="0"/>
              <w:autoSpaceDN w:val="0"/>
              <w:adjustRightInd w:val="0"/>
              <w:spacing w:after="0" w:line="240" w:lineRule="auto"/>
              <w:jc w:val="center"/>
              <w:rPr>
                <w:rFonts w:ascii="Times New Roman" w:hAnsi="Times New Roman" w:cs="Times New Roman"/>
                <w:sz w:val="20"/>
                <w:szCs w:val="20"/>
              </w:rPr>
            </w:pPr>
            <w:r w:rsidRPr="007C7D36">
              <w:rPr>
                <w:rFonts w:ascii="Times New Roman" w:hAnsi="Times New Roman" w:cs="Times New Roman"/>
                <w:sz w:val="20"/>
                <w:szCs w:val="20"/>
              </w:rPr>
              <w:t xml:space="preserve">Computed </w:t>
            </w:r>
          </w:p>
        </w:tc>
      </w:tr>
      <w:tr w:rsidR="00CF6A76" w:rsidRPr="007C7D36" w:rsidTr="00FE4F82">
        <w:tc>
          <w:tcPr>
            <w:tcW w:w="1809" w:type="dxa"/>
          </w:tcPr>
          <w:p w:rsidR="00CF6A76" w:rsidRPr="007C7D36" w:rsidRDefault="00CF6A76" w:rsidP="007C7D36">
            <w:pPr>
              <w:spacing w:after="0" w:line="240" w:lineRule="auto"/>
              <w:jc w:val="center"/>
              <w:rPr>
                <w:rFonts w:ascii="Times New Roman" w:hAnsi="Times New Roman" w:cs="Times New Roman"/>
                <w:color w:val="000000"/>
                <w:sz w:val="20"/>
                <w:szCs w:val="20"/>
              </w:rPr>
            </w:pPr>
            <w:r w:rsidRPr="007C7D36">
              <w:rPr>
                <w:rFonts w:ascii="Times New Roman" w:hAnsi="Times New Roman" w:cs="Times New Roman"/>
                <w:color w:val="000000"/>
                <w:sz w:val="20"/>
                <w:szCs w:val="20"/>
              </w:rPr>
              <w:t>TNOE/TE</w:t>
            </w:r>
          </w:p>
        </w:tc>
        <w:tc>
          <w:tcPr>
            <w:tcW w:w="1851" w:type="dxa"/>
          </w:tcPr>
          <w:p w:rsidR="00CF6A76" w:rsidRPr="007C7D36" w:rsidRDefault="00CF6A76" w:rsidP="007C7D36">
            <w:pPr>
              <w:autoSpaceDE w:val="0"/>
              <w:autoSpaceDN w:val="0"/>
              <w:adjustRightInd w:val="0"/>
              <w:spacing w:after="0" w:line="240" w:lineRule="auto"/>
              <w:jc w:val="center"/>
              <w:rPr>
                <w:rFonts w:ascii="Times New Roman" w:hAnsi="Times New Roman" w:cs="Times New Roman"/>
                <w:sz w:val="20"/>
                <w:szCs w:val="20"/>
              </w:rPr>
            </w:pPr>
            <w:r w:rsidRPr="007C7D36">
              <w:rPr>
                <w:rFonts w:ascii="Times New Roman" w:hAnsi="Times New Roman" w:cs="Times New Roman"/>
                <w:sz w:val="20"/>
                <w:szCs w:val="20"/>
              </w:rPr>
              <w:t>non-oil export as a percentage of total export</w:t>
            </w:r>
          </w:p>
        </w:tc>
        <w:tc>
          <w:tcPr>
            <w:tcW w:w="2149" w:type="dxa"/>
          </w:tcPr>
          <w:p w:rsidR="00CF6A76" w:rsidRPr="007C7D36" w:rsidRDefault="00CF6A76" w:rsidP="007C7D36">
            <w:pPr>
              <w:autoSpaceDE w:val="0"/>
              <w:autoSpaceDN w:val="0"/>
              <w:adjustRightInd w:val="0"/>
              <w:spacing w:after="0" w:line="240" w:lineRule="auto"/>
              <w:jc w:val="center"/>
              <w:rPr>
                <w:rFonts w:ascii="Times New Roman" w:hAnsi="Times New Roman" w:cs="Times New Roman"/>
                <w:sz w:val="20"/>
                <w:szCs w:val="20"/>
              </w:rPr>
            </w:pPr>
            <w:r w:rsidRPr="007C7D36">
              <w:rPr>
                <w:rFonts w:ascii="Times New Roman" w:hAnsi="Times New Roman" w:cs="Times New Roman"/>
                <w:sz w:val="20"/>
                <w:szCs w:val="20"/>
              </w:rPr>
              <w:t>Total non-oil export divided by total export</w:t>
            </w:r>
          </w:p>
        </w:tc>
        <w:tc>
          <w:tcPr>
            <w:tcW w:w="1754" w:type="dxa"/>
          </w:tcPr>
          <w:p w:rsidR="00CF6A76" w:rsidRPr="007C7D36" w:rsidRDefault="00CF6A76" w:rsidP="007C7D36">
            <w:pPr>
              <w:autoSpaceDE w:val="0"/>
              <w:autoSpaceDN w:val="0"/>
              <w:adjustRightInd w:val="0"/>
              <w:spacing w:after="0" w:line="240" w:lineRule="auto"/>
              <w:jc w:val="center"/>
              <w:rPr>
                <w:rFonts w:ascii="Times New Roman" w:hAnsi="Times New Roman" w:cs="Times New Roman"/>
                <w:sz w:val="20"/>
                <w:szCs w:val="20"/>
              </w:rPr>
            </w:pPr>
          </w:p>
        </w:tc>
        <w:tc>
          <w:tcPr>
            <w:tcW w:w="1787" w:type="dxa"/>
          </w:tcPr>
          <w:p w:rsidR="00CF6A76" w:rsidRPr="007C7D36" w:rsidRDefault="00CF6A76" w:rsidP="007C7D36">
            <w:pPr>
              <w:autoSpaceDE w:val="0"/>
              <w:autoSpaceDN w:val="0"/>
              <w:adjustRightInd w:val="0"/>
              <w:spacing w:after="0" w:line="240" w:lineRule="auto"/>
              <w:jc w:val="center"/>
              <w:rPr>
                <w:rFonts w:ascii="Times New Roman" w:hAnsi="Times New Roman" w:cs="Times New Roman"/>
                <w:sz w:val="20"/>
                <w:szCs w:val="20"/>
              </w:rPr>
            </w:pPr>
            <w:r w:rsidRPr="007C7D36">
              <w:rPr>
                <w:rFonts w:ascii="Times New Roman" w:hAnsi="Times New Roman" w:cs="Times New Roman"/>
                <w:sz w:val="20"/>
                <w:szCs w:val="20"/>
              </w:rPr>
              <w:t xml:space="preserve">Computed </w:t>
            </w:r>
          </w:p>
        </w:tc>
      </w:tr>
      <w:tr w:rsidR="00CF6A76" w:rsidRPr="007C7D36" w:rsidTr="00FE4F82">
        <w:tc>
          <w:tcPr>
            <w:tcW w:w="1809" w:type="dxa"/>
          </w:tcPr>
          <w:p w:rsidR="00CF6A76" w:rsidRPr="007C7D36" w:rsidRDefault="00CF6A76" w:rsidP="007C7D36">
            <w:pPr>
              <w:spacing w:after="0" w:line="240" w:lineRule="auto"/>
              <w:jc w:val="center"/>
              <w:rPr>
                <w:rFonts w:ascii="Times New Roman" w:hAnsi="Times New Roman" w:cs="Times New Roman"/>
                <w:sz w:val="20"/>
                <w:szCs w:val="20"/>
              </w:rPr>
            </w:pPr>
            <w:r w:rsidRPr="007C7D36">
              <w:rPr>
                <w:rFonts w:ascii="Times New Roman" w:hAnsi="Times New Roman" w:cs="Times New Roman"/>
                <w:color w:val="000000"/>
                <w:sz w:val="20"/>
                <w:szCs w:val="20"/>
              </w:rPr>
              <w:t>TEX</w:t>
            </w:r>
          </w:p>
        </w:tc>
        <w:tc>
          <w:tcPr>
            <w:tcW w:w="1851" w:type="dxa"/>
          </w:tcPr>
          <w:p w:rsidR="00CF6A76" w:rsidRPr="007C7D36" w:rsidRDefault="00CF6A76" w:rsidP="007C7D36">
            <w:pPr>
              <w:autoSpaceDE w:val="0"/>
              <w:autoSpaceDN w:val="0"/>
              <w:adjustRightInd w:val="0"/>
              <w:spacing w:after="0" w:line="240" w:lineRule="auto"/>
              <w:jc w:val="center"/>
              <w:rPr>
                <w:rFonts w:ascii="Times New Roman" w:hAnsi="Times New Roman" w:cs="Times New Roman"/>
                <w:sz w:val="20"/>
                <w:szCs w:val="20"/>
              </w:rPr>
            </w:pPr>
            <w:r w:rsidRPr="007C7D36">
              <w:rPr>
                <w:rFonts w:ascii="Times New Roman" w:hAnsi="Times New Roman" w:cs="Times New Roman"/>
                <w:sz w:val="20"/>
                <w:szCs w:val="20"/>
              </w:rPr>
              <w:t>Total export</w:t>
            </w:r>
          </w:p>
        </w:tc>
        <w:tc>
          <w:tcPr>
            <w:tcW w:w="2149" w:type="dxa"/>
          </w:tcPr>
          <w:p w:rsidR="00CF6A76" w:rsidRPr="007C7D36" w:rsidRDefault="00CF6A76" w:rsidP="007C7D36">
            <w:pPr>
              <w:autoSpaceDE w:val="0"/>
              <w:autoSpaceDN w:val="0"/>
              <w:adjustRightInd w:val="0"/>
              <w:spacing w:after="0" w:line="240" w:lineRule="auto"/>
              <w:jc w:val="center"/>
              <w:rPr>
                <w:rFonts w:ascii="Times New Roman" w:hAnsi="Times New Roman" w:cs="Times New Roman"/>
                <w:sz w:val="20"/>
                <w:szCs w:val="20"/>
              </w:rPr>
            </w:pPr>
            <w:r w:rsidRPr="007C7D36">
              <w:rPr>
                <w:rFonts w:ascii="Times New Roman" w:hAnsi="Times New Roman" w:cs="Times New Roman"/>
                <w:sz w:val="20"/>
                <w:szCs w:val="20"/>
              </w:rPr>
              <w:t>Value of total export</w:t>
            </w:r>
          </w:p>
        </w:tc>
        <w:tc>
          <w:tcPr>
            <w:tcW w:w="1754" w:type="dxa"/>
          </w:tcPr>
          <w:p w:rsidR="00CF6A76" w:rsidRPr="007C7D36" w:rsidRDefault="00CF6A76" w:rsidP="007C7D36">
            <w:pPr>
              <w:autoSpaceDE w:val="0"/>
              <w:autoSpaceDN w:val="0"/>
              <w:adjustRightInd w:val="0"/>
              <w:spacing w:after="0" w:line="240" w:lineRule="auto"/>
              <w:jc w:val="center"/>
              <w:rPr>
                <w:rFonts w:ascii="Times New Roman" w:hAnsi="Times New Roman" w:cs="Times New Roman"/>
                <w:sz w:val="20"/>
                <w:szCs w:val="20"/>
              </w:rPr>
            </w:pPr>
          </w:p>
        </w:tc>
        <w:tc>
          <w:tcPr>
            <w:tcW w:w="1787" w:type="dxa"/>
          </w:tcPr>
          <w:p w:rsidR="00CF6A76" w:rsidRPr="007C7D36" w:rsidRDefault="00CF6A76" w:rsidP="007C7D36">
            <w:pPr>
              <w:autoSpaceDE w:val="0"/>
              <w:autoSpaceDN w:val="0"/>
              <w:adjustRightInd w:val="0"/>
              <w:spacing w:after="0" w:line="240" w:lineRule="auto"/>
              <w:jc w:val="center"/>
              <w:rPr>
                <w:rFonts w:ascii="Times New Roman" w:hAnsi="Times New Roman" w:cs="Times New Roman"/>
                <w:sz w:val="20"/>
                <w:szCs w:val="20"/>
              </w:rPr>
            </w:pPr>
            <w:r w:rsidRPr="007C7D36">
              <w:rPr>
                <w:rFonts w:ascii="Times New Roman" w:hAnsi="Times New Roman" w:cs="Times New Roman"/>
                <w:sz w:val="20"/>
                <w:szCs w:val="20"/>
              </w:rPr>
              <w:t>CBN</w:t>
            </w:r>
          </w:p>
        </w:tc>
      </w:tr>
      <w:tr w:rsidR="00CF6A76" w:rsidRPr="007C7D36" w:rsidTr="00FE4F82">
        <w:tc>
          <w:tcPr>
            <w:tcW w:w="1809" w:type="dxa"/>
          </w:tcPr>
          <w:p w:rsidR="00CF6A76" w:rsidRPr="007C7D36" w:rsidRDefault="00CF6A76" w:rsidP="007C7D36">
            <w:pPr>
              <w:spacing w:after="0" w:line="240" w:lineRule="auto"/>
              <w:jc w:val="center"/>
              <w:rPr>
                <w:rFonts w:ascii="Times New Roman" w:hAnsi="Times New Roman" w:cs="Times New Roman"/>
                <w:sz w:val="20"/>
                <w:szCs w:val="20"/>
              </w:rPr>
            </w:pPr>
            <w:r w:rsidRPr="007C7D36">
              <w:rPr>
                <w:rFonts w:ascii="Times New Roman" w:hAnsi="Times New Roman" w:cs="Times New Roman"/>
                <w:color w:val="000000"/>
                <w:sz w:val="20"/>
                <w:szCs w:val="20"/>
              </w:rPr>
              <w:t>CBEC</w:t>
            </w:r>
          </w:p>
        </w:tc>
        <w:tc>
          <w:tcPr>
            <w:tcW w:w="1851" w:type="dxa"/>
          </w:tcPr>
          <w:p w:rsidR="00CF6A76" w:rsidRPr="007C7D36" w:rsidRDefault="00CF6A76" w:rsidP="007C7D36">
            <w:pPr>
              <w:autoSpaceDE w:val="0"/>
              <w:autoSpaceDN w:val="0"/>
              <w:adjustRightInd w:val="0"/>
              <w:spacing w:after="0" w:line="240" w:lineRule="auto"/>
              <w:jc w:val="center"/>
              <w:rPr>
                <w:rFonts w:ascii="Times New Roman" w:hAnsi="Times New Roman" w:cs="Times New Roman"/>
                <w:sz w:val="20"/>
                <w:szCs w:val="20"/>
              </w:rPr>
            </w:pPr>
            <w:r w:rsidRPr="007C7D36">
              <w:rPr>
                <w:rFonts w:ascii="Times New Roman" w:hAnsi="Times New Roman" w:cs="Times New Roman"/>
                <w:sz w:val="20"/>
                <w:szCs w:val="20"/>
              </w:rPr>
              <w:t>commercial banks’ credit to non-oil exporters</w:t>
            </w:r>
          </w:p>
        </w:tc>
        <w:tc>
          <w:tcPr>
            <w:tcW w:w="2149" w:type="dxa"/>
          </w:tcPr>
          <w:p w:rsidR="00CF6A76" w:rsidRPr="007C7D36" w:rsidRDefault="00CF6A76" w:rsidP="007C7D36">
            <w:pPr>
              <w:autoSpaceDE w:val="0"/>
              <w:autoSpaceDN w:val="0"/>
              <w:adjustRightInd w:val="0"/>
              <w:spacing w:after="0" w:line="240" w:lineRule="auto"/>
              <w:jc w:val="center"/>
              <w:rPr>
                <w:rFonts w:ascii="Times New Roman" w:hAnsi="Times New Roman" w:cs="Times New Roman"/>
                <w:sz w:val="20"/>
                <w:szCs w:val="20"/>
              </w:rPr>
            </w:pPr>
            <w:r w:rsidRPr="007C7D36">
              <w:rPr>
                <w:rFonts w:ascii="Times New Roman" w:hAnsi="Times New Roman" w:cs="Times New Roman"/>
                <w:sz w:val="20"/>
                <w:szCs w:val="20"/>
              </w:rPr>
              <w:t>commercial banks’ credit to non-oil exporters</w:t>
            </w:r>
          </w:p>
        </w:tc>
        <w:tc>
          <w:tcPr>
            <w:tcW w:w="1754" w:type="dxa"/>
          </w:tcPr>
          <w:p w:rsidR="00CF6A76" w:rsidRPr="007C7D36" w:rsidRDefault="00CF6A76" w:rsidP="007C7D36">
            <w:pPr>
              <w:autoSpaceDE w:val="0"/>
              <w:autoSpaceDN w:val="0"/>
              <w:adjustRightInd w:val="0"/>
              <w:spacing w:after="0" w:line="240" w:lineRule="auto"/>
              <w:jc w:val="center"/>
              <w:rPr>
                <w:rFonts w:ascii="Times New Roman" w:hAnsi="Times New Roman" w:cs="Times New Roman"/>
                <w:sz w:val="20"/>
                <w:szCs w:val="20"/>
              </w:rPr>
            </w:pPr>
            <w:r w:rsidRPr="007C7D36">
              <w:rPr>
                <w:rFonts w:ascii="Times New Roman" w:hAnsi="Times New Roman" w:cs="Times New Roman"/>
                <w:sz w:val="20"/>
                <w:szCs w:val="20"/>
              </w:rPr>
              <w:t>+</w:t>
            </w:r>
          </w:p>
        </w:tc>
        <w:tc>
          <w:tcPr>
            <w:tcW w:w="1787" w:type="dxa"/>
          </w:tcPr>
          <w:p w:rsidR="00CF6A76" w:rsidRPr="007C7D36" w:rsidRDefault="00CF6A76" w:rsidP="007C7D36">
            <w:pPr>
              <w:autoSpaceDE w:val="0"/>
              <w:autoSpaceDN w:val="0"/>
              <w:adjustRightInd w:val="0"/>
              <w:spacing w:after="0" w:line="240" w:lineRule="auto"/>
              <w:jc w:val="center"/>
              <w:rPr>
                <w:rFonts w:ascii="Times New Roman" w:hAnsi="Times New Roman" w:cs="Times New Roman"/>
                <w:sz w:val="20"/>
                <w:szCs w:val="20"/>
              </w:rPr>
            </w:pPr>
            <w:r w:rsidRPr="007C7D36">
              <w:rPr>
                <w:rFonts w:ascii="Times New Roman" w:hAnsi="Times New Roman" w:cs="Times New Roman"/>
                <w:sz w:val="20"/>
                <w:szCs w:val="20"/>
              </w:rPr>
              <w:t>CBN</w:t>
            </w:r>
          </w:p>
        </w:tc>
      </w:tr>
      <w:tr w:rsidR="00CF6A76" w:rsidRPr="007C7D36" w:rsidTr="00FE4F82">
        <w:tc>
          <w:tcPr>
            <w:tcW w:w="1809" w:type="dxa"/>
          </w:tcPr>
          <w:p w:rsidR="00CF6A76" w:rsidRPr="007C7D36" w:rsidRDefault="00CF6A76" w:rsidP="007C7D36">
            <w:pPr>
              <w:spacing w:after="0" w:line="240" w:lineRule="auto"/>
              <w:jc w:val="center"/>
              <w:rPr>
                <w:rFonts w:ascii="Times New Roman" w:hAnsi="Times New Roman" w:cs="Times New Roman"/>
                <w:color w:val="000000"/>
                <w:sz w:val="20"/>
                <w:szCs w:val="20"/>
              </w:rPr>
            </w:pPr>
            <w:r w:rsidRPr="007C7D36">
              <w:rPr>
                <w:rFonts w:ascii="Times New Roman" w:hAnsi="Times New Roman" w:cs="Times New Roman"/>
                <w:color w:val="000000"/>
                <w:sz w:val="20"/>
                <w:szCs w:val="20"/>
              </w:rPr>
              <w:t>GR_CBEC</w:t>
            </w:r>
          </w:p>
        </w:tc>
        <w:tc>
          <w:tcPr>
            <w:tcW w:w="1851" w:type="dxa"/>
          </w:tcPr>
          <w:p w:rsidR="00CF6A76" w:rsidRPr="007C7D36" w:rsidRDefault="00CF6A76" w:rsidP="007C7D36">
            <w:pPr>
              <w:autoSpaceDE w:val="0"/>
              <w:autoSpaceDN w:val="0"/>
              <w:adjustRightInd w:val="0"/>
              <w:spacing w:after="0" w:line="240" w:lineRule="auto"/>
              <w:jc w:val="center"/>
              <w:rPr>
                <w:rFonts w:ascii="Times New Roman" w:hAnsi="Times New Roman" w:cs="Times New Roman"/>
                <w:sz w:val="20"/>
                <w:szCs w:val="20"/>
              </w:rPr>
            </w:pPr>
            <w:r w:rsidRPr="007C7D36">
              <w:rPr>
                <w:rFonts w:ascii="Times New Roman" w:hAnsi="Times New Roman" w:cs="Times New Roman"/>
                <w:sz w:val="20"/>
                <w:szCs w:val="20"/>
              </w:rPr>
              <w:t>growth rate of commercial banks’ non-oil export credit</w:t>
            </w:r>
          </w:p>
        </w:tc>
        <w:tc>
          <w:tcPr>
            <w:tcW w:w="2149" w:type="dxa"/>
          </w:tcPr>
          <w:p w:rsidR="00CF6A76" w:rsidRPr="007C7D36" w:rsidRDefault="00CF6A76" w:rsidP="007C7D36">
            <w:pPr>
              <w:autoSpaceDE w:val="0"/>
              <w:autoSpaceDN w:val="0"/>
              <w:adjustRightInd w:val="0"/>
              <w:spacing w:after="0" w:line="240" w:lineRule="auto"/>
              <w:jc w:val="center"/>
              <w:rPr>
                <w:rFonts w:ascii="Times New Roman" w:hAnsi="Times New Roman" w:cs="Times New Roman"/>
                <w:sz w:val="20"/>
                <w:szCs w:val="20"/>
              </w:rPr>
            </w:pPr>
            <w:r w:rsidRPr="007C7D36">
              <w:rPr>
                <w:rFonts w:ascii="Times New Roman" w:hAnsi="Times New Roman" w:cs="Times New Roman"/>
                <w:sz w:val="20"/>
                <w:szCs w:val="20"/>
              </w:rPr>
              <w:t>growth rate of commercial banks’ non-oil export credit</w:t>
            </w:r>
          </w:p>
        </w:tc>
        <w:tc>
          <w:tcPr>
            <w:tcW w:w="1754" w:type="dxa"/>
          </w:tcPr>
          <w:p w:rsidR="00CF6A76" w:rsidRPr="007C7D36" w:rsidRDefault="00CF6A76" w:rsidP="007C7D36">
            <w:pPr>
              <w:autoSpaceDE w:val="0"/>
              <w:autoSpaceDN w:val="0"/>
              <w:adjustRightInd w:val="0"/>
              <w:spacing w:after="0" w:line="240" w:lineRule="auto"/>
              <w:jc w:val="center"/>
              <w:rPr>
                <w:rFonts w:ascii="Times New Roman" w:hAnsi="Times New Roman" w:cs="Times New Roman"/>
                <w:sz w:val="20"/>
                <w:szCs w:val="20"/>
              </w:rPr>
            </w:pPr>
            <w:r w:rsidRPr="007C7D36">
              <w:rPr>
                <w:rFonts w:ascii="Times New Roman" w:hAnsi="Times New Roman" w:cs="Times New Roman"/>
                <w:sz w:val="20"/>
                <w:szCs w:val="20"/>
              </w:rPr>
              <w:t>+</w:t>
            </w:r>
          </w:p>
        </w:tc>
        <w:tc>
          <w:tcPr>
            <w:tcW w:w="1787" w:type="dxa"/>
          </w:tcPr>
          <w:p w:rsidR="00CF6A76" w:rsidRPr="007C7D36" w:rsidRDefault="00CF6A76" w:rsidP="007C7D36">
            <w:pPr>
              <w:autoSpaceDE w:val="0"/>
              <w:autoSpaceDN w:val="0"/>
              <w:adjustRightInd w:val="0"/>
              <w:spacing w:after="0" w:line="240" w:lineRule="auto"/>
              <w:jc w:val="center"/>
              <w:rPr>
                <w:rFonts w:ascii="Times New Roman" w:hAnsi="Times New Roman" w:cs="Times New Roman"/>
                <w:sz w:val="20"/>
                <w:szCs w:val="20"/>
              </w:rPr>
            </w:pPr>
            <w:r w:rsidRPr="007C7D36">
              <w:rPr>
                <w:rFonts w:ascii="Times New Roman" w:hAnsi="Times New Roman" w:cs="Times New Roman"/>
                <w:sz w:val="20"/>
                <w:szCs w:val="20"/>
              </w:rPr>
              <w:t xml:space="preserve">Computed </w:t>
            </w:r>
          </w:p>
        </w:tc>
      </w:tr>
      <w:tr w:rsidR="00CF6A76" w:rsidRPr="007C7D36" w:rsidTr="00FE4F82">
        <w:tc>
          <w:tcPr>
            <w:tcW w:w="1809" w:type="dxa"/>
          </w:tcPr>
          <w:p w:rsidR="00CF6A76" w:rsidRPr="007C7D36" w:rsidRDefault="00CF6A76" w:rsidP="007C7D36">
            <w:pPr>
              <w:spacing w:after="0" w:line="240" w:lineRule="auto"/>
              <w:jc w:val="center"/>
              <w:rPr>
                <w:rFonts w:ascii="Times New Roman" w:hAnsi="Times New Roman" w:cs="Times New Roman"/>
                <w:sz w:val="20"/>
                <w:szCs w:val="20"/>
              </w:rPr>
            </w:pPr>
            <w:r w:rsidRPr="007C7D36">
              <w:rPr>
                <w:rFonts w:ascii="Times New Roman" w:hAnsi="Times New Roman" w:cs="Times New Roman"/>
                <w:color w:val="000000"/>
                <w:sz w:val="20"/>
                <w:szCs w:val="20"/>
              </w:rPr>
              <w:t>EXCR</w:t>
            </w:r>
          </w:p>
        </w:tc>
        <w:tc>
          <w:tcPr>
            <w:tcW w:w="1851" w:type="dxa"/>
          </w:tcPr>
          <w:p w:rsidR="00CF6A76" w:rsidRPr="007C7D36" w:rsidRDefault="00CF6A76" w:rsidP="007C7D36">
            <w:pPr>
              <w:autoSpaceDE w:val="0"/>
              <w:autoSpaceDN w:val="0"/>
              <w:adjustRightInd w:val="0"/>
              <w:spacing w:after="0" w:line="240" w:lineRule="auto"/>
              <w:jc w:val="center"/>
              <w:rPr>
                <w:rFonts w:ascii="Times New Roman" w:hAnsi="Times New Roman" w:cs="Times New Roman"/>
                <w:sz w:val="20"/>
                <w:szCs w:val="20"/>
              </w:rPr>
            </w:pPr>
            <w:r w:rsidRPr="007C7D36">
              <w:rPr>
                <w:rFonts w:ascii="Times New Roman" w:hAnsi="Times New Roman" w:cs="Times New Roman"/>
                <w:sz w:val="20"/>
                <w:szCs w:val="20"/>
              </w:rPr>
              <w:t xml:space="preserve">Exchange rate </w:t>
            </w:r>
          </w:p>
        </w:tc>
        <w:tc>
          <w:tcPr>
            <w:tcW w:w="2149" w:type="dxa"/>
          </w:tcPr>
          <w:p w:rsidR="00CF6A76" w:rsidRPr="007C7D36" w:rsidRDefault="00CF6A76" w:rsidP="007C7D36">
            <w:pPr>
              <w:autoSpaceDE w:val="0"/>
              <w:autoSpaceDN w:val="0"/>
              <w:adjustRightInd w:val="0"/>
              <w:spacing w:after="0" w:line="240" w:lineRule="auto"/>
              <w:jc w:val="center"/>
              <w:rPr>
                <w:rFonts w:ascii="Times New Roman" w:hAnsi="Times New Roman" w:cs="Times New Roman"/>
                <w:sz w:val="20"/>
                <w:szCs w:val="20"/>
              </w:rPr>
            </w:pPr>
            <w:r w:rsidRPr="007C7D36">
              <w:rPr>
                <w:rFonts w:ascii="Times New Roman" w:hAnsi="Times New Roman" w:cs="Times New Roman"/>
                <w:sz w:val="20"/>
                <w:szCs w:val="20"/>
              </w:rPr>
              <w:t>Monthly Average Official Exchange Rate of the Naira (N/US$1.00)</w:t>
            </w:r>
          </w:p>
        </w:tc>
        <w:tc>
          <w:tcPr>
            <w:tcW w:w="1754" w:type="dxa"/>
          </w:tcPr>
          <w:p w:rsidR="00CF6A76" w:rsidRPr="007C7D36" w:rsidRDefault="00CF6A76" w:rsidP="007C7D36">
            <w:pPr>
              <w:autoSpaceDE w:val="0"/>
              <w:autoSpaceDN w:val="0"/>
              <w:adjustRightInd w:val="0"/>
              <w:spacing w:after="0" w:line="240" w:lineRule="auto"/>
              <w:jc w:val="center"/>
              <w:rPr>
                <w:rFonts w:ascii="Times New Roman" w:hAnsi="Times New Roman" w:cs="Times New Roman"/>
                <w:sz w:val="20"/>
                <w:szCs w:val="20"/>
              </w:rPr>
            </w:pPr>
            <w:r w:rsidRPr="007C7D36">
              <w:rPr>
                <w:rFonts w:ascii="Times New Roman" w:hAnsi="Times New Roman" w:cs="Times New Roman"/>
                <w:sz w:val="20"/>
                <w:szCs w:val="20"/>
              </w:rPr>
              <w:t>+</w:t>
            </w:r>
          </w:p>
        </w:tc>
        <w:tc>
          <w:tcPr>
            <w:tcW w:w="1787" w:type="dxa"/>
          </w:tcPr>
          <w:p w:rsidR="00CF6A76" w:rsidRPr="007C7D36" w:rsidRDefault="00CF6A76" w:rsidP="007C7D36">
            <w:pPr>
              <w:autoSpaceDE w:val="0"/>
              <w:autoSpaceDN w:val="0"/>
              <w:adjustRightInd w:val="0"/>
              <w:spacing w:after="0" w:line="240" w:lineRule="auto"/>
              <w:jc w:val="center"/>
              <w:rPr>
                <w:rFonts w:ascii="Times New Roman" w:hAnsi="Times New Roman" w:cs="Times New Roman"/>
                <w:sz w:val="20"/>
                <w:szCs w:val="20"/>
              </w:rPr>
            </w:pPr>
            <w:r w:rsidRPr="007C7D36">
              <w:rPr>
                <w:rFonts w:ascii="Times New Roman" w:hAnsi="Times New Roman" w:cs="Times New Roman"/>
                <w:sz w:val="20"/>
                <w:szCs w:val="20"/>
              </w:rPr>
              <w:t>CBN</w:t>
            </w:r>
          </w:p>
        </w:tc>
      </w:tr>
      <w:tr w:rsidR="00CF6A76" w:rsidRPr="007C7D36" w:rsidTr="00FE4F82">
        <w:tc>
          <w:tcPr>
            <w:tcW w:w="1809" w:type="dxa"/>
          </w:tcPr>
          <w:p w:rsidR="00CF6A76" w:rsidRPr="007C7D36" w:rsidRDefault="00CF6A76" w:rsidP="007C7D36">
            <w:pPr>
              <w:spacing w:after="0" w:line="240" w:lineRule="auto"/>
              <w:jc w:val="center"/>
              <w:rPr>
                <w:rFonts w:ascii="Times New Roman" w:hAnsi="Times New Roman" w:cs="Times New Roman"/>
                <w:sz w:val="20"/>
                <w:szCs w:val="20"/>
              </w:rPr>
            </w:pPr>
            <w:r w:rsidRPr="007C7D36">
              <w:rPr>
                <w:rFonts w:ascii="Times New Roman" w:hAnsi="Times New Roman" w:cs="Times New Roman"/>
                <w:color w:val="000000"/>
                <w:sz w:val="20"/>
                <w:szCs w:val="20"/>
              </w:rPr>
              <w:t>MPR</w:t>
            </w:r>
          </w:p>
        </w:tc>
        <w:tc>
          <w:tcPr>
            <w:tcW w:w="1851" w:type="dxa"/>
          </w:tcPr>
          <w:p w:rsidR="00CF6A76" w:rsidRPr="007C7D36" w:rsidRDefault="00CF6A76" w:rsidP="007C7D36">
            <w:pPr>
              <w:autoSpaceDE w:val="0"/>
              <w:autoSpaceDN w:val="0"/>
              <w:adjustRightInd w:val="0"/>
              <w:spacing w:after="0" w:line="240" w:lineRule="auto"/>
              <w:jc w:val="center"/>
              <w:rPr>
                <w:rFonts w:ascii="Times New Roman" w:hAnsi="Times New Roman" w:cs="Times New Roman"/>
                <w:sz w:val="20"/>
                <w:szCs w:val="20"/>
              </w:rPr>
            </w:pPr>
            <w:r w:rsidRPr="007C7D36">
              <w:rPr>
                <w:rFonts w:ascii="Times New Roman" w:hAnsi="Times New Roman" w:cs="Times New Roman"/>
                <w:sz w:val="20"/>
                <w:szCs w:val="20"/>
              </w:rPr>
              <w:t>Monetary policy rate</w:t>
            </w:r>
          </w:p>
        </w:tc>
        <w:tc>
          <w:tcPr>
            <w:tcW w:w="2149" w:type="dxa"/>
          </w:tcPr>
          <w:p w:rsidR="00CF6A76" w:rsidRPr="007C7D36" w:rsidRDefault="00CF6A76" w:rsidP="007C7D36">
            <w:pPr>
              <w:autoSpaceDE w:val="0"/>
              <w:autoSpaceDN w:val="0"/>
              <w:adjustRightInd w:val="0"/>
              <w:spacing w:after="0" w:line="240" w:lineRule="auto"/>
              <w:jc w:val="center"/>
              <w:rPr>
                <w:rFonts w:ascii="Times New Roman" w:hAnsi="Times New Roman" w:cs="Times New Roman"/>
                <w:sz w:val="20"/>
                <w:szCs w:val="20"/>
              </w:rPr>
            </w:pPr>
            <w:r w:rsidRPr="007C7D36">
              <w:rPr>
                <w:rFonts w:ascii="Times New Roman" w:hAnsi="Times New Roman" w:cs="Times New Roman"/>
                <w:sz w:val="20"/>
                <w:szCs w:val="20"/>
              </w:rPr>
              <w:t>Money market interest rate (%)</w:t>
            </w:r>
          </w:p>
        </w:tc>
        <w:tc>
          <w:tcPr>
            <w:tcW w:w="1754" w:type="dxa"/>
          </w:tcPr>
          <w:p w:rsidR="00CF6A76" w:rsidRPr="007C7D36" w:rsidRDefault="00CF6A76" w:rsidP="007C7D36">
            <w:pPr>
              <w:autoSpaceDE w:val="0"/>
              <w:autoSpaceDN w:val="0"/>
              <w:adjustRightInd w:val="0"/>
              <w:spacing w:after="0" w:line="240" w:lineRule="auto"/>
              <w:jc w:val="center"/>
              <w:rPr>
                <w:rFonts w:ascii="Times New Roman" w:hAnsi="Times New Roman" w:cs="Times New Roman"/>
                <w:sz w:val="20"/>
                <w:szCs w:val="20"/>
              </w:rPr>
            </w:pPr>
            <w:r w:rsidRPr="007C7D36">
              <w:rPr>
                <w:rFonts w:ascii="Times New Roman" w:hAnsi="Times New Roman" w:cs="Times New Roman"/>
                <w:sz w:val="20"/>
                <w:szCs w:val="20"/>
              </w:rPr>
              <w:t>-</w:t>
            </w:r>
          </w:p>
        </w:tc>
        <w:tc>
          <w:tcPr>
            <w:tcW w:w="1787" w:type="dxa"/>
          </w:tcPr>
          <w:p w:rsidR="00CF6A76" w:rsidRPr="007C7D36" w:rsidRDefault="00CF6A76" w:rsidP="007C7D36">
            <w:pPr>
              <w:autoSpaceDE w:val="0"/>
              <w:autoSpaceDN w:val="0"/>
              <w:adjustRightInd w:val="0"/>
              <w:spacing w:after="0" w:line="240" w:lineRule="auto"/>
              <w:jc w:val="center"/>
              <w:rPr>
                <w:rFonts w:ascii="Times New Roman" w:hAnsi="Times New Roman" w:cs="Times New Roman"/>
                <w:sz w:val="20"/>
                <w:szCs w:val="20"/>
              </w:rPr>
            </w:pPr>
            <w:r w:rsidRPr="007C7D36">
              <w:rPr>
                <w:rFonts w:ascii="Times New Roman" w:hAnsi="Times New Roman" w:cs="Times New Roman"/>
                <w:sz w:val="20"/>
                <w:szCs w:val="20"/>
              </w:rPr>
              <w:t>CBN</w:t>
            </w:r>
          </w:p>
        </w:tc>
      </w:tr>
      <w:tr w:rsidR="00CF6A76" w:rsidRPr="007C7D36" w:rsidTr="00FE4F82">
        <w:tc>
          <w:tcPr>
            <w:tcW w:w="1809" w:type="dxa"/>
          </w:tcPr>
          <w:p w:rsidR="00CF6A76" w:rsidRPr="007C7D36" w:rsidRDefault="00CF6A76" w:rsidP="007C7D36">
            <w:pPr>
              <w:spacing w:after="0" w:line="240" w:lineRule="auto"/>
              <w:jc w:val="center"/>
              <w:rPr>
                <w:rFonts w:ascii="Times New Roman" w:hAnsi="Times New Roman" w:cs="Times New Roman"/>
                <w:color w:val="000000"/>
                <w:sz w:val="20"/>
                <w:szCs w:val="20"/>
              </w:rPr>
            </w:pPr>
            <w:r w:rsidRPr="007C7D36">
              <w:rPr>
                <w:rFonts w:ascii="Times New Roman" w:hAnsi="Times New Roman" w:cs="Times New Roman"/>
                <w:color w:val="000000"/>
                <w:sz w:val="20"/>
                <w:szCs w:val="20"/>
              </w:rPr>
              <w:t>INFR</w:t>
            </w:r>
          </w:p>
        </w:tc>
        <w:tc>
          <w:tcPr>
            <w:tcW w:w="1851" w:type="dxa"/>
          </w:tcPr>
          <w:p w:rsidR="00CF6A76" w:rsidRPr="007C7D36" w:rsidRDefault="00CF6A76" w:rsidP="007C7D36">
            <w:pPr>
              <w:autoSpaceDE w:val="0"/>
              <w:autoSpaceDN w:val="0"/>
              <w:adjustRightInd w:val="0"/>
              <w:spacing w:after="0" w:line="240" w:lineRule="auto"/>
              <w:jc w:val="center"/>
              <w:rPr>
                <w:rFonts w:ascii="Times New Roman" w:hAnsi="Times New Roman" w:cs="Times New Roman"/>
                <w:sz w:val="20"/>
                <w:szCs w:val="20"/>
              </w:rPr>
            </w:pPr>
            <w:r w:rsidRPr="007C7D36">
              <w:rPr>
                <w:rFonts w:ascii="Times New Roman" w:hAnsi="Times New Roman" w:cs="Times New Roman"/>
                <w:sz w:val="20"/>
                <w:szCs w:val="20"/>
              </w:rPr>
              <w:t>Inflation rate</w:t>
            </w:r>
          </w:p>
        </w:tc>
        <w:tc>
          <w:tcPr>
            <w:tcW w:w="2149" w:type="dxa"/>
          </w:tcPr>
          <w:p w:rsidR="00CF6A76" w:rsidRPr="007C7D36" w:rsidRDefault="00CF6A76" w:rsidP="007C7D36">
            <w:pPr>
              <w:autoSpaceDE w:val="0"/>
              <w:autoSpaceDN w:val="0"/>
              <w:adjustRightInd w:val="0"/>
              <w:spacing w:after="0" w:line="240" w:lineRule="auto"/>
              <w:jc w:val="center"/>
              <w:rPr>
                <w:rFonts w:ascii="Times New Roman" w:hAnsi="Times New Roman" w:cs="Times New Roman"/>
                <w:sz w:val="20"/>
                <w:szCs w:val="20"/>
              </w:rPr>
            </w:pPr>
            <w:r w:rsidRPr="007C7D36">
              <w:rPr>
                <w:rFonts w:ascii="Times New Roman" w:hAnsi="Times New Roman" w:cs="Times New Roman"/>
                <w:sz w:val="20"/>
                <w:szCs w:val="20"/>
              </w:rPr>
              <w:t>Annual average growth rate of consumer price index</w:t>
            </w:r>
          </w:p>
        </w:tc>
        <w:tc>
          <w:tcPr>
            <w:tcW w:w="1754" w:type="dxa"/>
          </w:tcPr>
          <w:p w:rsidR="00CF6A76" w:rsidRPr="007C7D36" w:rsidRDefault="00CF6A76" w:rsidP="007C7D36">
            <w:pPr>
              <w:autoSpaceDE w:val="0"/>
              <w:autoSpaceDN w:val="0"/>
              <w:adjustRightInd w:val="0"/>
              <w:spacing w:after="0" w:line="240" w:lineRule="auto"/>
              <w:jc w:val="center"/>
              <w:rPr>
                <w:rFonts w:ascii="Times New Roman" w:hAnsi="Times New Roman" w:cs="Times New Roman"/>
                <w:sz w:val="20"/>
                <w:szCs w:val="20"/>
              </w:rPr>
            </w:pPr>
            <w:r w:rsidRPr="007C7D36">
              <w:rPr>
                <w:rFonts w:ascii="Times New Roman" w:hAnsi="Times New Roman" w:cs="Times New Roman"/>
                <w:sz w:val="20"/>
                <w:szCs w:val="20"/>
              </w:rPr>
              <w:t>-</w:t>
            </w:r>
          </w:p>
        </w:tc>
        <w:tc>
          <w:tcPr>
            <w:tcW w:w="1787" w:type="dxa"/>
          </w:tcPr>
          <w:p w:rsidR="00CF6A76" w:rsidRPr="007C7D36" w:rsidRDefault="00CF6A76" w:rsidP="007C7D36">
            <w:pPr>
              <w:autoSpaceDE w:val="0"/>
              <w:autoSpaceDN w:val="0"/>
              <w:adjustRightInd w:val="0"/>
              <w:spacing w:after="0" w:line="240" w:lineRule="auto"/>
              <w:jc w:val="center"/>
              <w:rPr>
                <w:rFonts w:ascii="Times New Roman" w:hAnsi="Times New Roman" w:cs="Times New Roman"/>
                <w:sz w:val="20"/>
                <w:szCs w:val="20"/>
              </w:rPr>
            </w:pPr>
            <w:r w:rsidRPr="007C7D36">
              <w:rPr>
                <w:rFonts w:ascii="Times New Roman" w:hAnsi="Times New Roman" w:cs="Times New Roman"/>
                <w:sz w:val="20"/>
                <w:szCs w:val="20"/>
              </w:rPr>
              <w:t>UNCTAD</w:t>
            </w:r>
          </w:p>
        </w:tc>
      </w:tr>
      <w:tr w:rsidR="00CF6A76" w:rsidRPr="007C7D36" w:rsidTr="00FE4F82">
        <w:tc>
          <w:tcPr>
            <w:tcW w:w="1809" w:type="dxa"/>
          </w:tcPr>
          <w:p w:rsidR="00CF6A76" w:rsidRPr="007C7D36" w:rsidRDefault="00CF6A76" w:rsidP="007C7D36">
            <w:pPr>
              <w:spacing w:after="0" w:line="240" w:lineRule="auto"/>
              <w:jc w:val="center"/>
              <w:rPr>
                <w:rFonts w:ascii="Times New Roman" w:hAnsi="Times New Roman" w:cs="Times New Roman"/>
                <w:color w:val="000000"/>
                <w:sz w:val="20"/>
                <w:szCs w:val="20"/>
              </w:rPr>
            </w:pPr>
            <w:r w:rsidRPr="007C7D36">
              <w:rPr>
                <w:rFonts w:ascii="Times New Roman" w:hAnsi="Times New Roman" w:cs="Times New Roman"/>
                <w:color w:val="000000"/>
                <w:sz w:val="20"/>
                <w:szCs w:val="20"/>
              </w:rPr>
              <w:t>OPEN</w:t>
            </w:r>
          </w:p>
        </w:tc>
        <w:tc>
          <w:tcPr>
            <w:tcW w:w="1851" w:type="dxa"/>
          </w:tcPr>
          <w:p w:rsidR="00CF6A76" w:rsidRPr="007C7D36" w:rsidRDefault="00CF6A76" w:rsidP="007C7D36">
            <w:pPr>
              <w:autoSpaceDE w:val="0"/>
              <w:autoSpaceDN w:val="0"/>
              <w:adjustRightInd w:val="0"/>
              <w:spacing w:after="0" w:line="240" w:lineRule="auto"/>
              <w:jc w:val="center"/>
              <w:rPr>
                <w:rFonts w:ascii="Times New Roman" w:hAnsi="Times New Roman" w:cs="Times New Roman"/>
                <w:sz w:val="20"/>
                <w:szCs w:val="20"/>
              </w:rPr>
            </w:pPr>
            <w:r w:rsidRPr="007C7D36">
              <w:rPr>
                <w:rFonts w:ascii="Times New Roman" w:hAnsi="Times New Roman" w:cs="Times New Roman"/>
                <w:sz w:val="20"/>
                <w:szCs w:val="20"/>
              </w:rPr>
              <w:t>Trade openness</w:t>
            </w:r>
          </w:p>
        </w:tc>
        <w:tc>
          <w:tcPr>
            <w:tcW w:w="2149" w:type="dxa"/>
          </w:tcPr>
          <w:p w:rsidR="00CF6A76" w:rsidRPr="007C7D36" w:rsidRDefault="00CF6A76" w:rsidP="007C7D36">
            <w:pPr>
              <w:autoSpaceDE w:val="0"/>
              <w:autoSpaceDN w:val="0"/>
              <w:adjustRightInd w:val="0"/>
              <w:spacing w:after="0" w:line="240" w:lineRule="auto"/>
              <w:jc w:val="center"/>
              <w:rPr>
                <w:rFonts w:ascii="Times New Roman" w:hAnsi="Times New Roman" w:cs="Times New Roman"/>
                <w:sz w:val="20"/>
                <w:szCs w:val="20"/>
              </w:rPr>
            </w:pPr>
            <w:r w:rsidRPr="007C7D36">
              <w:rPr>
                <w:rFonts w:ascii="Times New Roman" w:hAnsi="Times New Roman" w:cs="Times New Roman"/>
                <w:sz w:val="20"/>
                <w:szCs w:val="20"/>
              </w:rPr>
              <w:t>Sum of exports and imports of goods and services as % of GDP</w:t>
            </w:r>
          </w:p>
        </w:tc>
        <w:tc>
          <w:tcPr>
            <w:tcW w:w="1754" w:type="dxa"/>
          </w:tcPr>
          <w:p w:rsidR="00CF6A76" w:rsidRPr="007C7D36" w:rsidRDefault="00CF6A76" w:rsidP="007C7D36">
            <w:pPr>
              <w:autoSpaceDE w:val="0"/>
              <w:autoSpaceDN w:val="0"/>
              <w:adjustRightInd w:val="0"/>
              <w:spacing w:after="0" w:line="240" w:lineRule="auto"/>
              <w:jc w:val="center"/>
              <w:rPr>
                <w:rFonts w:ascii="Times New Roman" w:hAnsi="Times New Roman" w:cs="Times New Roman"/>
                <w:sz w:val="20"/>
                <w:szCs w:val="20"/>
              </w:rPr>
            </w:pPr>
            <w:r w:rsidRPr="007C7D36">
              <w:rPr>
                <w:rFonts w:ascii="Times New Roman" w:hAnsi="Times New Roman" w:cs="Times New Roman"/>
                <w:sz w:val="20"/>
                <w:szCs w:val="20"/>
              </w:rPr>
              <w:t>+</w:t>
            </w:r>
          </w:p>
        </w:tc>
        <w:tc>
          <w:tcPr>
            <w:tcW w:w="1787" w:type="dxa"/>
          </w:tcPr>
          <w:p w:rsidR="00CF6A76" w:rsidRPr="007C7D36" w:rsidRDefault="00CF6A76" w:rsidP="007C7D36">
            <w:pPr>
              <w:autoSpaceDE w:val="0"/>
              <w:autoSpaceDN w:val="0"/>
              <w:adjustRightInd w:val="0"/>
              <w:spacing w:after="0" w:line="240" w:lineRule="auto"/>
              <w:jc w:val="center"/>
              <w:rPr>
                <w:rFonts w:ascii="Times New Roman" w:hAnsi="Times New Roman" w:cs="Times New Roman"/>
                <w:sz w:val="20"/>
                <w:szCs w:val="20"/>
              </w:rPr>
            </w:pPr>
            <w:r w:rsidRPr="007C7D36">
              <w:rPr>
                <w:rFonts w:ascii="Times New Roman" w:hAnsi="Times New Roman" w:cs="Times New Roman"/>
                <w:sz w:val="20"/>
                <w:szCs w:val="20"/>
              </w:rPr>
              <w:t>WDI</w:t>
            </w:r>
          </w:p>
        </w:tc>
      </w:tr>
      <w:tr w:rsidR="00CF6A76" w:rsidRPr="007C7D36" w:rsidTr="00FE4F82">
        <w:tc>
          <w:tcPr>
            <w:tcW w:w="1809" w:type="dxa"/>
          </w:tcPr>
          <w:p w:rsidR="00CF6A76" w:rsidRPr="007C7D36" w:rsidRDefault="00CF6A76" w:rsidP="007C7D36">
            <w:pPr>
              <w:spacing w:after="0" w:line="240" w:lineRule="auto"/>
              <w:jc w:val="center"/>
              <w:rPr>
                <w:rFonts w:ascii="Times New Roman" w:hAnsi="Times New Roman" w:cs="Times New Roman"/>
                <w:color w:val="000000"/>
                <w:sz w:val="20"/>
                <w:szCs w:val="20"/>
              </w:rPr>
            </w:pPr>
            <w:r w:rsidRPr="007C7D36">
              <w:rPr>
                <w:rFonts w:ascii="Times New Roman" w:hAnsi="Times New Roman" w:cs="Times New Roman"/>
                <w:color w:val="000000"/>
                <w:sz w:val="20"/>
                <w:szCs w:val="20"/>
              </w:rPr>
              <w:t>RGDP</w:t>
            </w:r>
          </w:p>
        </w:tc>
        <w:tc>
          <w:tcPr>
            <w:tcW w:w="1851" w:type="dxa"/>
          </w:tcPr>
          <w:p w:rsidR="00CF6A76" w:rsidRPr="007C7D36" w:rsidRDefault="00CF6A76" w:rsidP="007C7D36">
            <w:pPr>
              <w:autoSpaceDE w:val="0"/>
              <w:autoSpaceDN w:val="0"/>
              <w:adjustRightInd w:val="0"/>
              <w:spacing w:after="0" w:line="240" w:lineRule="auto"/>
              <w:jc w:val="center"/>
              <w:rPr>
                <w:rFonts w:ascii="Times New Roman" w:hAnsi="Times New Roman" w:cs="Times New Roman"/>
                <w:sz w:val="20"/>
                <w:szCs w:val="20"/>
              </w:rPr>
            </w:pPr>
            <w:r w:rsidRPr="007C7D36">
              <w:rPr>
                <w:rFonts w:ascii="Times New Roman" w:hAnsi="Times New Roman" w:cs="Times New Roman"/>
                <w:sz w:val="20"/>
                <w:szCs w:val="20"/>
              </w:rPr>
              <w:t>Real gross domestic product</w:t>
            </w:r>
          </w:p>
        </w:tc>
        <w:tc>
          <w:tcPr>
            <w:tcW w:w="2149" w:type="dxa"/>
          </w:tcPr>
          <w:p w:rsidR="00CF6A76" w:rsidRPr="007C7D36" w:rsidRDefault="00CF6A76" w:rsidP="007C7D36">
            <w:pPr>
              <w:autoSpaceDE w:val="0"/>
              <w:autoSpaceDN w:val="0"/>
              <w:adjustRightInd w:val="0"/>
              <w:spacing w:after="0" w:line="240" w:lineRule="auto"/>
              <w:jc w:val="center"/>
              <w:rPr>
                <w:rFonts w:ascii="Times New Roman" w:hAnsi="Times New Roman" w:cs="Times New Roman"/>
                <w:sz w:val="20"/>
                <w:szCs w:val="20"/>
              </w:rPr>
            </w:pPr>
            <w:r w:rsidRPr="007C7D36">
              <w:rPr>
                <w:rFonts w:ascii="Times New Roman" w:hAnsi="Times New Roman" w:cs="Times New Roman"/>
                <w:sz w:val="20"/>
                <w:szCs w:val="20"/>
              </w:rPr>
              <w:t>Gross Domestic Product at 2010 Constant Basic Prices - Annual1 (₦' Billion)</w:t>
            </w:r>
          </w:p>
        </w:tc>
        <w:tc>
          <w:tcPr>
            <w:tcW w:w="1754" w:type="dxa"/>
          </w:tcPr>
          <w:p w:rsidR="00CF6A76" w:rsidRPr="007C7D36" w:rsidRDefault="00CF6A76" w:rsidP="007C7D36">
            <w:pPr>
              <w:autoSpaceDE w:val="0"/>
              <w:autoSpaceDN w:val="0"/>
              <w:adjustRightInd w:val="0"/>
              <w:spacing w:after="0" w:line="240" w:lineRule="auto"/>
              <w:jc w:val="center"/>
              <w:rPr>
                <w:rFonts w:ascii="Times New Roman" w:hAnsi="Times New Roman" w:cs="Times New Roman"/>
                <w:sz w:val="20"/>
                <w:szCs w:val="20"/>
              </w:rPr>
            </w:pPr>
            <w:r w:rsidRPr="007C7D36">
              <w:rPr>
                <w:rFonts w:ascii="Times New Roman" w:hAnsi="Times New Roman" w:cs="Times New Roman"/>
                <w:sz w:val="20"/>
                <w:szCs w:val="20"/>
              </w:rPr>
              <w:t>+</w:t>
            </w:r>
          </w:p>
        </w:tc>
        <w:tc>
          <w:tcPr>
            <w:tcW w:w="1787" w:type="dxa"/>
          </w:tcPr>
          <w:p w:rsidR="00CF6A76" w:rsidRPr="007C7D36" w:rsidRDefault="00CF6A76" w:rsidP="007C7D36">
            <w:pPr>
              <w:autoSpaceDE w:val="0"/>
              <w:autoSpaceDN w:val="0"/>
              <w:adjustRightInd w:val="0"/>
              <w:spacing w:after="0" w:line="240" w:lineRule="auto"/>
              <w:jc w:val="center"/>
              <w:rPr>
                <w:rFonts w:ascii="Times New Roman" w:hAnsi="Times New Roman" w:cs="Times New Roman"/>
                <w:sz w:val="20"/>
                <w:szCs w:val="20"/>
              </w:rPr>
            </w:pPr>
            <w:r w:rsidRPr="007C7D36">
              <w:rPr>
                <w:rFonts w:ascii="Times New Roman" w:hAnsi="Times New Roman" w:cs="Times New Roman"/>
                <w:sz w:val="20"/>
                <w:szCs w:val="20"/>
              </w:rPr>
              <w:t>CBN</w:t>
            </w:r>
          </w:p>
        </w:tc>
      </w:tr>
    </w:tbl>
    <w:p w:rsidR="00CF6A76" w:rsidRPr="00CF6A76" w:rsidRDefault="00CF6A76" w:rsidP="00CF6A76">
      <w:pPr>
        <w:autoSpaceDE w:val="0"/>
        <w:autoSpaceDN w:val="0"/>
        <w:adjustRightInd w:val="0"/>
        <w:spacing w:after="0"/>
        <w:jc w:val="both"/>
        <w:rPr>
          <w:rFonts w:ascii="Times New Roman" w:hAnsi="Times New Roman" w:cs="Times New Roman"/>
          <w:sz w:val="24"/>
          <w:szCs w:val="24"/>
        </w:rPr>
      </w:pPr>
      <w:r w:rsidRPr="00CF6A76">
        <w:rPr>
          <w:rFonts w:ascii="Times New Roman" w:hAnsi="Times New Roman" w:cs="Times New Roman"/>
          <w:sz w:val="24"/>
          <w:szCs w:val="24"/>
        </w:rPr>
        <w:t>Source: Author’s compilation.</w:t>
      </w:r>
    </w:p>
    <w:p w:rsidR="00CF6A76" w:rsidRPr="00CF6A76" w:rsidRDefault="00CF6A76" w:rsidP="00CF6A76">
      <w:pPr>
        <w:autoSpaceDE w:val="0"/>
        <w:autoSpaceDN w:val="0"/>
        <w:adjustRightInd w:val="0"/>
        <w:spacing w:after="0"/>
        <w:jc w:val="both"/>
        <w:rPr>
          <w:rFonts w:ascii="Times New Roman" w:hAnsi="Times New Roman" w:cs="Times New Roman"/>
          <w:sz w:val="24"/>
          <w:szCs w:val="24"/>
        </w:rPr>
      </w:pPr>
    </w:p>
    <w:p w:rsidR="00CF6A76" w:rsidRPr="00CF6A76" w:rsidRDefault="002847E2" w:rsidP="00CF6A76">
      <w:pPr>
        <w:pStyle w:val="H2"/>
        <w:rPr>
          <w:sz w:val="24"/>
          <w:szCs w:val="24"/>
        </w:rPr>
      </w:pPr>
      <w:bookmarkStart w:id="14" w:name="_Toc115647118"/>
      <w:r>
        <w:rPr>
          <w:sz w:val="24"/>
          <w:szCs w:val="24"/>
        </w:rPr>
        <w:t>3.2</w:t>
      </w:r>
      <w:r>
        <w:rPr>
          <w:sz w:val="24"/>
          <w:szCs w:val="24"/>
        </w:rPr>
        <w:tab/>
      </w:r>
      <w:r w:rsidR="00CF6A76" w:rsidRPr="00CF6A76">
        <w:rPr>
          <w:sz w:val="24"/>
          <w:szCs w:val="24"/>
        </w:rPr>
        <w:t xml:space="preserve">Estimation </w:t>
      </w:r>
      <w:bookmarkEnd w:id="14"/>
      <w:r w:rsidR="001143E8">
        <w:rPr>
          <w:sz w:val="24"/>
          <w:szCs w:val="24"/>
        </w:rPr>
        <w:t>Techniques</w:t>
      </w:r>
      <w:r w:rsidR="00A549BC">
        <w:rPr>
          <w:sz w:val="24"/>
          <w:szCs w:val="24"/>
        </w:rPr>
        <w:t xml:space="preserve"> and Procedures</w:t>
      </w:r>
    </w:p>
    <w:p w:rsidR="00CF6A76" w:rsidRPr="00CF6A76" w:rsidRDefault="00CF6A76" w:rsidP="00CF6A76">
      <w:pPr>
        <w:spacing w:before="240" w:after="0"/>
        <w:jc w:val="both"/>
        <w:rPr>
          <w:rFonts w:ascii="Times New Roman" w:hAnsi="Times New Roman" w:cs="Times New Roman"/>
          <w:bCs/>
          <w:sz w:val="24"/>
          <w:szCs w:val="24"/>
        </w:rPr>
      </w:pPr>
      <w:r w:rsidRPr="00CF6A76">
        <w:rPr>
          <w:rFonts w:ascii="Times New Roman" w:hAnsi="Times New Roman" w:cs="Times New Roman"/>
          <w:sz w:val="24"/>
          <w:szCs w:val="24"/>
        </w:rPr>
        <w:t xml:space="preserve">The approach adopted in this study is the Autoregressive Distributive Lags (ARDL), developed by </w:t>
      </w:r>
      <w:proofErr w:type="spellStart"/>
      <w:r w:rsidRPr="00CF6A76">
        <w:rPr>
          <w:rFonts w:ascii="Times New Roman" w:hAnsi="Times New Roman" w:cs="Times New Roman"/>
          <w:sz w:val="24"/>
          <w:szCs w:val="24"/>
        </w:rPr>
        <w:t>Pesaran</w:t>
      </w:r>
      <w:proofErr w:type="spellEnd"/>
      <w:r w:rsidRPr="00CF6A76">
        <w:rPr>
          <w:rFonts w:ascii="Times New Roman" w:hAnsi="Times New Roman" w:cs="Times New Roman"/>
          <w:sz w:val="24"/>
          <w:szCs w:val="24"/>
        </w:rPr>
        <w:t xml:space="preserve"> et al (2001). Also, ARDL bounds testing approach is more suitable and provides better results for small sample size. </w:t>
      </w:r>
    </w:p>
    <w:p w:rsidR="00CF6A76" w:rsidRPr="00CF6A76" w:rsidRDefault="00CF6A76" w:rsidP="00CF6A76">
      <w:pPr>
        <w:spacing w:before="240" w:after="0"/>
        <w:jc w:val="both"/>
        <w:rPr>
          <w:rFonts w:ascii="Times New Roman" w:hAnsi="Times New Roman" w:cs="Times New Roman"/>
          <w:bCs/>
          <w:sz w:val="24"/>
          <w:szCs w:val="24"/>
        </w:rPr>
      </w:pPr>
      <w:r w:rsidRPr="00CF6A76">
        <w:rPr>
          <w:rFonts w:ascii="Times New Roman" w:hAnsi="Times New Roman" w:cs="Times New Roman"/>
          <w:bCs/>
          <w:sz w:val="24"/>
          <w:szCs w:val="24"/>
        </w:rPr>
        <w:t>The processes to this estimation procedure begin with the examination of the stochastic properties of the data in which descriptive statistics and unit root test are performed. The unit root test is necessary in order to avoid a spurious regression that may give a good fit and predict a statistical significance relationship between variables where none really exist (</w:t>
      </w:r>
      <w:proofErr w:type="spellStart"/>
      <w:r w:rsidRPr="00CF6A76">
        <w:rPr>
          <w:rFonts w:ascii="Times New Roman" w:hAnsi="Times New Roman" w:cs="Times New Roman"/>
          <w:bCs/>
          <w:sz w:val="24"/>
          <w:szCs w:val="24"/>
        </w:rPr>
        <w:t>Mahadeva</w:t>
      </w:r>
      <w:proofErr w:type="spellEnd"/>
      <w:r w:rsidRPr="00CF6A76">
        <w:rPr>
          <w:rFonts w:ascii="Times New Roman" w:hAnsi="Times New Roman" w:cs="Times New Roman"/>
          <w:bCs/>
          <w:sz w:val="24"/>
          <w:szCs w:val="24"/>
        </w:rPr>
        <w:t xml:space="preserve"> and Robinson, 2014). </w:t>
      </w:r>
      <w:r w:rsidRPr="00CF6A76">
        <w:rPr>
          <w:rFonts w:ascii="Times New Roman" w:hAnsi="Times New Roman" w:cs="Times New Roman"/>
          <w:sz w:val="24"/>
          <w:szCs w:val="24"/>
        </w:rPr>
        <w:t>The variables used for the analysis are subjected to two unit root tests so as to determine stationary or non-stationary of the series. The three unit root tests include the Augmented Dickey Fuller (ADF), the Phillip-</w:t>
      </w:r>
      <w:proofErr w:type="spellStart"/>
      <w:r w:rsidRPr="00CF6A76">
        <w:rPr>
          <w:rFonts w:ascii="Times New Roman" w:hAnsi="Times New Roman" w:cs="Times New Roman"/>
          <w:sz w:val="24"/>
          <w:szCs w:val="24"/>
        </w:rPr>
        <w:t>Perron</w:t>
      </w:r>
      <w:proofErr w:type="spellEnd"/>
      <w:r w:rsidRPr="00CF6A76">
        <w:rPr>
          <w:rFonts w:ascii="Times New Roman" w:hAnsi="Times New Roman" w:cs="Times New Roman"/>
          <w:sz w:val="24"/>
          <w:szCs w:val="24"/>
        </w:rPr>
        <w:t xml:space="preserve"> (PP) and the Kwiatkowski-Phillips-Schmidt-Shin (KPSS) tests. </w:t>
      </w:r>
      <w:r w:rsidRPr="00CF6A76">
        <w:rPr>
          <w:rFonts w:ascii="Times New Roman" w:hAnsi="Times New Roman" w:cs="Times New Roman"/>
          <w:bCs/>
          <w:sz w:val="24"/>
          <w:szCs w:val="24"/>
        </w:rPr>
        <w:lastRenderedPageBreak/>
        <w:t xml:space="preserve">In each of the ADF and PP tests adopted, two models were considered </w:t>
      </w:r>
      <w:proofErr w:type="spellStart"/>
      <w:r w:rsidRPr="00CF6A76">
        <w:rPr>
          <w:rFonts w:ascii="Times New Roman" w:hAnsi="Times New Roman" w:cs="Times New Roman"/>
          <w:bCs/>
          <w:sz w:val="24"/>
          <w:szCs w:val="24"/>
        </w:rPr>
        <w:t>viz</w:t>
      </w:r>
      <w:proofErr w:type="spellEnd"/>
      <w:r w:rsidRPr="00CF6A76">
        <w:rPr>
          <w:rFonts w:ascii="Times New Roman" w:hAnsi="Times New Roman" w:cs="Times New Roman"/>
          <w:bCs/>
          <w:sz w:val="24"/>
          <w:szCs w:val="24"/>
        </w:rPr>
        <w:t xml:space="preserve">, with constant and constant with linear trend </w:t>
      </w:r>
      <w:r w:rsidRPr="00CF6A76">
        <w:rPr>
          <w:rFonts w:ascii="Times New Roman" w:hAnsi="Times New Roman" w:cs="Times New Roman"/>
          <w:sz w:val="24"/>
          <w:szCs w:val="24"/>
        </w:rPr>
        <w:t>to determine whether each of the variables in the model has unit root (non-stationary) or do not have unit root (stationary series).</w:t>
      </w:r>
      <w:r w:rsidRPr="00CF6A76">
        <w:rPr>
          <w:rFonts w:ascii="Times New Roman" w:hAnsi="Times New Roman" w:cs="Times New Roman"/>
          <w:bCs/>
          <w:sz w:val="24"/>
          <w:szCs w:val="24"/>
        </w:rPr>
        <w:t xml:space="preserve"> This is to test against the null hypothesis that there is the presence of unit root.</w:t>
      </w:r>
      <w:bookmarkStart w:id="15" w:name="_Toc25775680"/>
      <w:bookmarkStart w:id="16" w:name="_Toc71033684"/>
    </w:p>
    <w:p w:rsidR="00CF6A76" w:rsidRPr="00CF6A76" w:rsidRDefault="002847E2" w:rsidP="00CF6A76">
      <w:pPr>
        <w:pStyle w:val="H2"/>
        <w:spacing w:before="240"/>
        <w:rPr>
          <w:sz w:val="24"/>
          <w:szCs w:val="24"/>
        </w:rPr>
      </w:pPr>
      <w:bookmarkStart w:id="17" w:name="_Toc115647119"/>
      <w:r>
        <w:rPr>
          <w:sz w:val="24"/>
          <w:szCs w:val="24"/>
        </w:rPr>
        <w:t>3.3</w:t>
      </w:r>
      <w:r>
        <w:rPr>
          <w:sz w:val="24"/>
          <w:szCs w:val="24"/>
        </w:rPr>
        <w:tab/>
      </w:r>
      <w:r w:rsidR="00CF6A76" w:rsidRPr="00CF6A76">
        <w:rPr>
          <w:sz w:val="24"/>
          <w:szCs w:val="24"/>
        </w:rPr>
        <w:t xml:space="preserve">Measuring Non-oil Export </w:t>
      </w:r>
      <w:bookmarkEnd w:id="15"/>
      <w:r w:rsidR="00CF6A76" w:rsidRPr="00CF6A76">
        <w:rPr>
          <w:sz w:val="24"/>
          <w:szCs w:val="24"/>
        </w:rPr>
        <w:t>Performance</w:t>
      </w:r>
      <w:bookmarkEnd w:id="16"/>
      <w:bookmarkEnd w:id="17"/>
    </w:p>
    <w:p w:rsidR="00DB32C1" w:rsidRPr="00ED4C20" w:rsidRDefault="00CF6A76" w:rsidP="00ED4C20">
      <w:pPr>
        <w:spacing w:after="0"/>
        <w:jc w:val="both"/>
        <w:rPr>
          <w:rFonts w:ascii="Times New Roman" w:hAnsi="Times New Roman" w:cs="Times New Roman"/>
          <w:sz w:val="24"/>
          <w:szCs w:val="24"/>
        </w:rPr>
      </w:pPr>
      <w:r w:rsidRPr="00CF6A76">
        <w:rPr>
          <w:rFonts w:ascii="Times New Roman" w:hAnsi="Times New Roman" w:cs="Times New Roman"/>
          <w:sz w:val="24"/>
          <w:szCs w:val="24"/>
        </w:rPr>
        <w:t>Several indicators have been identified in the literature for measuring non-oil exports performance: Total non-oil export, non-oil export as a percentage of total export, growth rate of non-oil export (%) and non-oil export as a percentage of GDP. This study assessed the impact of export credit on the four indicators identified for measuring non-oil export performance. Apart from total non-oil export, the other three indicators are not available in any of the data sources but computed by the researcher. For instance, the growth rate of non-oil export was computed using elasticity approach while non-oil export as percentage of total export was derived by dividing the total non-oil export by total export. Also, non-oil export as a percentage of GDP was derived by dividing the total non-oil export by real GDP value.</w:t>
      </w:r>
      <w:r w:rsidR="00ED4C20">
        <w:rPr>
          <w:rFonts w:ascii="Times New Roman" w:hAnsi="Times New Roman" w:cs="Times New Roman"/>
          <w:sz w:val="24"/>
          <w:szCs w:val="24"/>
        </w:rPr>
        <w:t xml:space="preserve"> </w:t>
      </w:r>
      <w:r w:rsidR="00DB32C1" w:rsidRPr="00ED4C20">
        <w:rPr>
          <w:rFonts w:ascii="Times New Roman" w:hAnsi="Times New Roman" w:cs="Times New Roman"/>
          <w:sz w:val="24"/>
          <w:szCs w:val="24"/>
        </w:rPr>
        <w:t>The study utilizes time series data covering the period 1981 to 2021 for which data are available. The data were sourced from Central Bank of Nigeria (CBN), World Development Indicators (WDI), and United Nations Conference on Trade and Development (UNCTAD) databases.</w:t>
      </w:r>
    </w:p>
    <w:p w:rsidR="00DB32C1" w:rsidRPr="00015F30" w:rsidRDefault="003D14A5" w:rsidP="00DB32C1">
      <w:pPr>
        <w:pStyle w:val="H1"/>
        <w:jc w:val="left"/>
        <w:rPr>
          <w:sz w:val="24"/>
          <w:szCs w:val="24"/>
        </w:rPr>
      </w:pPr>
      <w:bookmarkStart w:id="18" w:name="_Toc25775682"/>
      <w:bookmarkStart w:id="19" w:name="_Toc71033688"/>
      <w:bookmarkStart w:id="20" w:name="_Toc97822143"/>
      <w:bookmarkStart w:id="21" w:name="_Toc115647122"/>
      <w:r>
        <w:rPr>
          <w:sz w:val="24"/>
          <w:szCs w:val="24"/>
        </w:rPr>
        <w:t>4.0</w:t>
      </w:r>
      <w:r>
        <w:rPr>
          <w:sz w:val="24"/>
          <w:szCs w:val="24"/>
        </w:rPr>
        <w:tab/>
      </w:r>
      <w:r w:rsidR="00015F30">
        <w:rPr>
          <w:sz w:val="24"/>
          <w:szCs w:val="24"/>
        </w:rPr>
        <w:t>Results a</w:t>
      </w:r>
      <w:r w:rsidR="00015F30" w:rsidRPr="00015F30">
        <w:rPr>
          <w:sz w:val="24"/>
          <w:szCs w:val="24"/>
        </w:rPr>
        <w:t>nd Discussions</w:t>
      </w:r>
      <w:bookmarkEnd w:id="18"/>
      <w:bookmarkEnd w:id="19"/>
      <w:bookmarkEnd w:id="20"/>
      <w:bookmarkEnd w:id="21"/>
    </w:p>
    <w:p w:rsidR="00DB32C1" w:rsidRPr="00015F30" w:rsidRDefault="003D14A5" w:rsidP="00DB32C1">
      <w:pPr>
        <w:pStyle w:val="H2"/>
        <w:rPr>
          <w:i/>
          <w:sz w:val="24"/>
          <w:szCs w:val="24"/>
        </w:rPr>
      </w:pPr>
      <w:bookmarkStart w:id="22" w:name="_Toc25775683"/>
      <w:bookmarkStart w:id="23" w:name="_Toc71033689"/>
      <w:bookmarkStart w:id="24" w:name="_Toc97822144"/>
      <w:bookmarkStart w:id="25" w:name="_Toc115647123"/>
      <w:r>
        <w:rPr>
          <w:sz w:val="24"/>
          <w:szCs w:val="24"/>
        </w:rPr>
        <w:t>4.1</w:t>
      </w:r>
      <w:r>
        <w:rPr>
          <w:sz w:val="24"/>
          <w:szCs w:val="24"/>
        </w:rPr>
        <w:tab/>
      </w:r>
      <w:r w:rsidR="00DB32C1" w:rsidRPr="00015F30">
        <w:rPr>
          <w:sz w:val="24"/>
          <w:szCs w:val="24"/>
        </w:rPr>
        <w:t>Descriptive Analysis</w:t>
      </w:r>
      <w:bookmarkEnd w:id="22"/>
      <w:bookmarkEnd w:id="23"/>
      <w:bookmarkEnd w:id="24"/>
      <w:bookmarkEnd w:id="25"/>
    </w:p>
    <w:p w:rsidR="00DB32C1" w:rsidRPr="00015F30" w:rsidRDefault="00DB32C1" w:rsidP="00DB32C1">
      <w:pPr>
        <w:spacing w:before="240"/>
        <w:jc w:val="both"/>
        <w:rPr>
          <w:rFonts w:ascii="Times New Roman" w:hAnsi="Times New Roman" w:cs="Times New Roman"/>
          <w:sz w:val="24"/>
          <w:szCs w:val="24"/>
        </w:rPr>
      </w:pPr>
      <w:r w:rsidRPr="00015F30">
        <w:rPr>
          <w:rFonts w:ascii="Times New Roman" w:hAnsi="Times New Roman" w:cs="Times New Roman"/>
          <w:sz w:val="24"/>
          <w:szCs w:val="24"/>
        </w:rPr>
        <w:t xml:space="preserve">This sub-section discusses the statistical properties of the variables used for the analysis. Table 2 presents the descriptive statistics of variables in the model for the period (1981-2021). The statistics presented consist of mean, median, minimum, maximum, skewness, kurtosis, standard deviation and </w:t>
      </w:r>
      <w:proofErr w:type="spellStart"/>
      <w:r w:rsidRPr="00015F30">
        <w:rPr>
          <w:rFonts w:ascii="Times New Roman" w:hAnsi="Times New Roman" w:cs="Times New Roman"/>
          <w:sz w:val="24"/>
          <w:szCs w:val="24"/>
        </w:rPr>
        <w:t>Jarque-Bera</w:t>
      </w:r>
      <w:proofErr w:type="spellEnd"/>
      <w:r w:rsidRPr="00015F30">
        <w:rPr>
          <w:rFonts w:ascii="Times New Roman" w:hAnsi="Times New Roman" w:cs="Times New Roman"/>
          <w:sz w:val="24"/>
          <w:szCs w:val="24"/>
        </w:rPr>
        <w:t xml:space="preserve">. The average value of TNOE from table 2 is </w:t>
      </w:r>
      <w:r w:rsidRPr="00015F30">
        <w:rPr>
          <w:rFonts w:ascii="Times New Roman" w:hAnsi="Times New Roman" w:cs="Times New Roman"/>
          <w:color w:val="000000"/>
          <w:sz w:val="24"/>
          <w:szCs w:val="24"/>
        </w:rPr>
        <w:t>429731.6</w:t>
      </w:r>
      <w:r w:rsidRPr="00015F30">
        <w:rPr>
          <w:rFonts w:ascii="Times New Roman" w:hAnsi="Times New Roman" w:cs="Times New Roman"/>
          <w:sz w:val="24"/>
          <w:szCs w:val="24"/>
        </w:rPr>
        <w:t xml:space="preserve"> with the maximum of </w:t>
      </w:r>
      <w:r w:rsidRPr="00015F30">
        <w:rPr>
          <w:rFonts w:ascii="Times New Roman" w:hAnsi="Times New Roman" w:cs="Times New Roman"/>
          <w:color w:val="000000"/>
          <w:sz w:val="24"/>
          <w:szCs w:val="24"/>
        </w:rPr>
        <w:t>3207100</w:t>
      </w:r>
      <w:r w:rsidRPr="00015F30">
        <w:rPr>
          <w:rFonts w:ascii="Times New Roman" w:hAnsi="Times New Roman" w:cs="Times New Roman"/>
          <w:sz w:val="24"/>
          <w:szCs w:val="24"/>
        </w:rPr>
        <w:t xml:space="preserve"> and minimum of </w:t>
      </w:r>
      <w:r w:rsidRPr="00015F30">
        <w:rPr>
          <w:rFonts w:ascii="Times New Roman" w:hAnsi="Times New Roman" w:cs="Times New Roman"/>
          <w:color w:val="000000"/>
          <w:sz w:val="24"/>
          <w:szCs w:val="24"/>
        </w:rPr>
        <w:t>203.20</w:t>
      </w:r>
      <w:r w:rsidRPr="00015F30">
        <w:rPr>
          <w:rFonts w:ascii="Times New Roman" w:hAnsi="Times New Roman" w:cs="Times New Roman"/>
          <w:sz w:val="24"/>
          <w:szCs w:val="24"/>
        </w:rPr>
        <w:t xml:space="preserve"> while standard deviation is </w:t>
      </w:r>
      <w:r w:rsidRPr="00015F30">
        <w:rPr>
          <w:rFonts w:ascii="Times New Roman" w:hAnsi="Times New Roman" w:cs="Times New Roman"/>
          <w:color w:val="000000"/>
          <w:sz w:val="24"/>
          <w:szCs w:val="24"/>
        </w:rPr>
        <w:t>710778.8</w:t>
      </w:r>
      <w:r w:rsidRPr="00015F30">
        <w:rPr>
          <w:rFonts w:ascii="Times New Roman" w:hAnsi="Times New Roman" w:cs="Times New Roman"/>
          <w:sz w:val="24"/>
          <w:szCs w:val="24"/>
        </w:rPr>
        <w:t xml:space="preserve">. The average value of </w:t>
      </w:r>
      <w:r w:rsidRPr="00015F30">
        <w:rPr>
          <w:rFonts w:ascii="Times New Roman" w:hAnsi="Times New Roman" w:cs="Times New Roman"/>
          <w:color w:val="000000"/>
          <w:sz w:val="24"/>
          <w:szCs w:val="24"/>
        </w:rPr>
        <w:t>TNOE_GDP, TNOE_TE</w:t>
      </w:r>
      <w:r w:rsidRPr="00015F30">
        <w:rPr>
          <w:rFonts w:ascii="Times New Roman" w:hAnsi="Times New Roman" w:cs="Times New Roman"/>
          <w:sz w:val="24"/>
          <w:szCs w:val="24"/>
        </w:rPr>
        <w:t xml:space="preserve"> and </w:t>
      </w:r>
      <w:r w:rsidRPr="00015F30">
        <w:rPr>
          <w:rFonts w:ascii="Times New Roman" w:hAnsi="Times New Roman" w:cs="Times New Roman"/>
          <w:color w:val="000000"/>
          <w:sz w:val="24"/>
          <w:szCs w:val="24"/>
        </w:rPr>
        <w:t>GR_TNOE</w:t>
      </w:r>
      <w:r w:rsidRPr="00015F30">
        <w:rPr>
          <w:rFonts w:ascii="Times New Roman" w:hAnsi="Times New Roman" w:cs="Times New Roman"/>
          <w:sz w:val="24"/>
          <w:szCs w:val="24"/>
        </w:rPr>
        <w:t xml:space="preserve"> are </w:t>
      </w:r>
      <w:r w:rsidRPr="00015F30">
        <w:rPr>
          <w:rFonts w:ascii="Times New Roman" w:hAnsi="Times New Roman" w:cs="Times New Roman"/>
          <w:color w:val="000000"/>
          <w:sz w:val="24"/>
          <w:szCs w:val="24"/>
        </w:rPr>
        <w:t>689.14, 4.988 and 37.331</w:t>
      </w:r>
      <w:r w:rsidRPr="00015F30">
        <w:rPr>
          <w:rFonts w:ascii="Times New Roman" w:hAnsi="Times New Roman" w:cs="Times New Roman"/>
          <w:sz w:val="24"/>
          <w:szCs w:val="24"/>
        </w:rPr>
        <w:t xml:space="preserve">, with a maximum value of </w:t>
      </w:r>
      <w:r w:rsidRPr="00015F30">
        <w:rPr>
          <w:rFonts w:ascii="Times New Roman" w:hAnsi="Times New Roman" w:cs="Times New Roman"/>
          <w:color w:val="000000"/>
          <w:sz w:val="24"/>
          <w:szCs w:val="24"/>
        </w:rPr>
        <w:t>4492.50, 16.107 and 331.78</w:t>
      </w:r>
      <w:r w:rsidRPr="00015F30">
        <w:rPr>
          <w:rFonts w:ascii="Times New Roman" w:hAnsi="Times New Roman" w:cs="Times New Roman"/>
          <w:sz w:val="24"/>
          <w:szCs w:val="24"/>
        </w:rPr>
        <w:t xml:space="preserve"> while a minimum of </w:t>
      </w:r>
      <w:r w:rsidRPr="00015F30">
        <w:rPr>
          <w:rFonts w:ascii="Times New Roman" w:hAnsi="Times New Roman" w:cs="Times New Roman"/>
          <w:color w:val="000000"/>
          <w:sz w:val="24"/>
          <w:szCs w:val="24"/>
        </w:rPr>
        <w:t>1.115, 1.275 and -100.00</w:t>
      </w:r>
      <w:r w:rsidRPr="00015F30">
        <w:rPr>
          <w:rFonts w:ascii="Times New Roman" w:hAnsi="Times New Roman" w:cs="Times New Roman"/>
          <w:sz w:val="24"/>
          <w:szCs w:val="24"/>
        </w:rPr>
        <w:t>, respectively.</w:t>
      </w:r>
    </w:p>
    <w:p w:rsidR="00DB32C1" w:rsidRPr="00015F30" w:rsidRDefault="00DB32C1" w:rsidP="00DB32C1">
      <w:pPr>
        <w:spacing w:before="240"/>
        <w:jc w:val="both"/>
        <w:rPr>
          <w:rFonts w:ascii="Times New Roman" w:hAnsi="Times New Roman" w:cs="Times New Roman"/>
          <w:sz w:val="24"/>
          <w:szCs w:val="24"/>
        </w:rPr>
      </w:pPr>
      <w:r w:rsidRPr="00015F30">
        <w:rPr>
          <w:rFonts w:ascii="Times New Roman" w:hAnsi="Times New Roman" w:cs="Times New Roman"/>
          <w:sz w:val="24"/>
          <w:szCs w:val="24"/>
        </w:rPr>
        <w:t xml:space="preserve">More so, the mean value of CBEC is </w:t>
      </w:r>
      <w:r w:rsidRPr="00015F30">
        <w:rPr>
          <w:rFonts w:ascii="Times New Roman" w:hAnsi="Times New Roman" w:cs="Times New Roman"/>
          <w:color w:val="000000"/>
          <w:sz w:val="24"/>
          <w:szCs w:val="24"/>
        </w:rPr>
        <w:t>247.13</w:t>
      </w:r>
      <w:r w:rsidRPr="00015F30">
        <w:rPr>
          <w:rFonts w:ascii="Times New Roman" w:hAnsi="Times New Roman" w:cs="Times New Roman"/>
          <w:sz w:val="24"/>
          <w:szCs w:val="24"/>
        </w:rPr>
        <w:t xml:space="preserve">, maximum of </w:t>
      </w:r>
      <w:r w:rsidRPr="00015F30">
        <w:rPr>
          <w:rFonts w:ascii="Times New Roman" w:hAnsi="Times New Roman" w:cs="Times New Roman"/>
          <w:color w:val="000000"/>
          <w:sz w:val="24"/>
          <w:szCs w:val="24"/>
        </w:rPr>
        <w:t>1708.37</w:t>
      </w:r>
      <w:r w:rsidRPr="00015F30">
        <w:rPr>
          <w:rFonts w:ascii="Times New Roman" w:hAnsi="Times New Roman" w:cs="Times New Roman"/>
          <w:sz w:val="24"/>
          <w:szCs w:val="24"/>
        </w:rPr>
        <w:t xml:space="preserve"> and a minimum of </w:t>
      </w:r>
      <w:r w:rsidRPr="00015F30">
        <w:rPr>
          <w:rFonts w:ascii="Times New Roman" w:hAnsi="Times New Roman" w:cs="Times New Roman"/>
          <w:color w:val="000000"/>
          <w:sz w:val="24"/>
          <w:szCs w:val="24"/>
        </w:rPr>
        <w:t>0.107</w:t>
      </w:r>
      <w:r w:rsidRPr="00015F30">
        <w:rPr>
          <w:rFonts w:ascii="Times New Roman" w:hAnsi="Times New Roman" w:cs="Times New Roman"/>
          <w:sz w:val="24"/>
          <w:szCs w:val="24"/>
        </w:rPr>
        <w:t xml:space="preserve">. In addition, EXCR showed an average value of </w:t>
      </w:r>
      <w:r w:rsidRPr="00015F30">
        <w:rPr>
          <w:rFonts w:ascii="Times New Roman" w:hAnsi="Times New Roman" w:cs="Times New Roman"/>
          <w:color w:val="000000"/>
          <w:sz w:val="24"/>
          <w:szCs w:val="24"/>
        </w:rPr>
        <w:t>108.16</w:t>
      </w:r>
      <w:r w:rsidRPr="00015F30">
        <w:rPr>
          <w:rFonts w:ascii="Times New Roman" w:hAnsi="Times New Roman" w:cs="Times New Roman"/>
          <w:sz w:val="24"/>
          <w:szCs w:val="24"/>
        </w:rPr>
        <w:t xml:space="preserve"> with maximum value of </w:t>
      </w:r>
      <w:r w:rsidRPr="00015F30">
        <w:rPr>
          <w:rFonts w:ascii="Times New Roman" w:hAnsi="Times New Roman" w:cs="Times New Roman"/>
          <w:color w:val="000000"/>
          <w:sz w:val="24"/>
          <w:szCs w:val="24"/>
        </w:rPr>
        <w:t>399.96</w:t>
      </w:r>
      <w:r w:rsidRPr="00015F30">
        <w:rPr>
          <w:rFonts w:ascii="Times New Roman" w:hAnsi="Times New Roman" w:cs="Times New Roman"/>
          <w:sz w:val="24"/>
          <w:szCs w:val="24"/>
        </w:rPr>
        <w:t xml:space="preserve"> and a minimum of </w:t>
      </w:r>
      <w:r w:rsidRPr="00015F30">
        <w:rPr>
          <w:rFonts w:ascii="Times New Roman" w:hAnsi="Times New Roman" w:cs="Times New Roman"/>
          <w:color w:val="000000"/>
          <w:sz w:val="24"/>
          <w:szCs w:val="24"/>
        </w:rPr>
        <w:t>0.610</w:t>
      </w:r>
      <w:r w:rsidRPr="00015F30">
        <w:rPr>
          <w:rFonts w:ascii="Times New Roman" w:hAnsi="Times New Roman" w:cs="Times New Roman"/>
          <w:sz w:val="24"/>
          <w:szCs w:val="24"/>
        </w:rPr>
        <w:t xml:space="preserve">. MPR, INFR, OPEN and RGDP had average value of </w:t>
      </w:r>
      <w:r w:rsidRPr="00015F30">
        <w:rPr>
          <w:rFonts w:ascii="Times New Roman" w:hAnsi="Times New Roman" w:cs="Times New Roman"/>
          <w:color w:val="000000"/>
          <w:sz w:val="24"/>
          <w:szCs w:val="24"/>
        </w:rPr>
        <w:t>13.000, 18.872, 32.024 and 37710.4</w:t>
      </w:r>
      <w:r w:rsidRPr="00015F30">
        <w:rPr>
          <w:rFonts w:ascii="Times New Roman" w:hAnsi="Times New Roman" w:cs="Times New Roman"/>
          <w:sz w:val="24"/>
          <w:szCs w:val="24"/>
        </w:rPr>
        <w:t xml:space="preserve">, with maximum value of </w:t>
      </w:r>
      <w:r w:rsidRPr="00015F30">
        <w:rPr>
          <w:rFonts w:ascii="Times New Roman" w:hAnsi="Times New Roman" w:cs="Times New Roman"/>
          <w:color w:val="000000"/>
          <w:sz w:val="24"/>
          <w:szCs w:val="24"/>
        </w:rPr>
        <w:t>26.000, 72.835, 53.277 and 72393.6</w:t>
      </w:r>
      <w:r w:rsidRPr="00015F30">
        <w:rPr>
          <w:rFonts w:ascii="Times New Roman" w:hAnsi="Times New Roman" w:cs="Times New Roman"/>
          <w:sz w:val="24"/>
          <w:szCs w:val="24"/>
        </w:rPr>
        <w:t xml:space="preserve"> while minimum value of </w:t>
      </w:r>
      <w:r w:rsidRPr="00015F30">
        <w:rPr>
          <w:rFonts w:ascii="Times New Roman" w:hAnsi="Times New Roman" w:cs="Times New Roman"/>
          <w:color w:val="000000"/>
          <w:sz w:val="24"/>
          <w:szCs w:val="24"/>
        </w:rPr>
        <w:t>6.000, 5.402, 9.135 and 16048.3</w:t>
      </w:r>
      <w:r w:rsidRPr="00015F30">
        <w:rPr>
          <w:rFonts w:ascii="Times New Roman" w:hAnsi="Times New Roman" w:cs="Times New Roman"/>
          <w:sz w:val="24"/>
          <w:szCs w:val="24"/>
        </w:rPr>
        <w:t xml:space="preserve">, respectively for the period under consideration. </w:t>
      </w:r>
    </w:p>
    <w:p w:rsidR="00DB32C1" w:rsidRPr="00015F30" w:rsidRDefault="00DB32C1" w:rsidP="00DB32C1">
      <w:pPr>
        <w:spacing w:before="240"/>
        <w:jc w:val="both"/>
        <w:rPr>
          <w:rFonts w:ascii="Times New Roman" w:hAnsi="Times New Roman" w:cs="Times New Roman"/>
          <w:color w:val="000000"/>
          <w:sz w:val="24"/>
          <w:szCs w:val="24"/>
        </w:rPr>
      </w:pPr>
      <w:r w:rsidRPr="00015F30">
        <w:rPr>
          <w:rFonts w:ascii="Times New Roman" w:hAnsi="Times New Roman" w:cs="Times New Roman"/>
          <w:color w:val="000000"/>
          <w:sz w:val="24"/>
          <w:szCs w:val="24"/>
        </w:rPr>
        <w:t xml:space="preserve">Moreover, normality tests reported include: kurtosis, skewness and </w:t>
      </w:r>
      <w:proofErr w:type="spellStart"/>
      <w:r w:rsidRPr="00015F30">
        <w:rPr>
          <w:rFonts w:ascii="Times New Roman" w:hAnsi="Times New Roman" w:cs="Times New Roman"/>
          <w:color w:val="000000"/>
          <w:sz w:val="24"/>
          <w:szCs w:val="24"/>
        </w:rPr>
        <w:t>jarque-Bera</w:t>
      </w:r>
      <w:proofErr w:type="spellEnd"/>
      <w:r w:rsidRPr="00015F30">
        <w:rPr>
          <w:rFonts w:ascii="Times New Roman" w:hAnsi="Times New Roman" w:cs="Times New Roman"/>
          <w:color w:val="000000"/>
          <w:sz w:val="24"/>
          <w:szCs w:val="24"/>
        </w:rPr>
        <w:t xml:space="preserve"> are reported.</w:t>
      </w:r>
      <w:r w:rsidRPr="00015F30">
        <w:rPr>
          <w:rFonts w:ascii="Times New Roman" w:hAnsi="Times New Roman" w:cs="Times New Roman"/>
          <w:sz w:val="24"/>
          <w:szCs w:val="24"/>
        </w:rPr>
        <w:t xml:space="preserve"> </w:t>
      </w:r>
      <w:r w:rsidRPr="00015F30">
        <w:rPr>
          <w:rFonts w:ascii="Times New Roman" w:hAnsi="Times New Roman" w:cs="Times New Roman"/>
          <w:color w:val="000000"/>
          <w:sz w:val="24"/>
          <w:szCs w:val="24"/>
        </w:rPr>
        <w:t>For skewness test which measures the asymmetry of the distribution of the series,</w:t>
      </w:r>
      <w:r w:rsidRPr="00015F30">
        <w:rPr>
          <w:rFonts w:ascii="Times New Roman" w:hAnsi="Times New Roman" w:cs="Times New Roman"/>
          <w:sz w:val="24"/>
          <w:szCs w:val="24"/>
        </w:rPr>
        <w:t xml:space="preserve"> </w:t>
      </w:r>
      <w:r w:rsidRPr="00015F30">
        <w:rPr>
          <w:rFonts w:ascii="Times New Roman" w:hAnsi="Times New Roman" w:cs="Times New Roman"/>
          <w:color w:val="000000"/>
          <w:sz w:val="24"/>
          <w:szCs w:val="24"/>
        </w:rPr>
        <w:t xml:space="preserve">the test shows that all the variables except OPEN are positively skewed as skewness statistics for each of these variables is greater than zero. The kurtosis statistics which measures the </w:t>
      </w:r>
      <w:proofErr w:type="spellStart"/>
      <w:r w:rsidRPr="00015F30">
        <w:rPr>
          <w:rFonts w:ascii="Times New Roman" w:hAnsi="Times New Roman" w:cs="Times New Roman"/>
          <w:color w:val="000000"/>
          <w:sz w:val="24"/>
          <w:szCs w:val="24"/>
        </w:rPr>
        <w:t>peakedness</w:t>
      </w:r>
      <w:proofErr w:type="spellEnd"/>
      <w:r w:rsidRPr="00015F30">
        <w:rPr>
          <w:rFonts w:ascii="Times New Roman" w:hAnsi="Times New Roman" w:cs="Times New Roman"/>
          <w:color w:val="000000"/>
          <w:sz w:val="24"/>
          <w:szCs w:val="24"/>
        </w:rPr>
        <w:t xml:space="preserve"> or flatness of </w:t>
      </w:r>
      <w:r w:rsidRPr="00015F30">
        <w:rPr>
          <w:rFonts w:ascii="Times New Roman" w:hAnsi="Times New Roman" w:cs="Times New Roman"/>
          <w:color w:val="000000"/>
          <w:sz w:val="24"/>
          <w:szCs w:val="24"/>
        </w:rPr>
        <w:lastRenderedPageBreak/>
        <w:t xml:space="preserve">the distribution of the series indicates that all the variables except TEX, OPEN and RGDP are highly leptokurtic since their kurtosis values are greater than 3. Finally, the </w:t>
      </w:r>
      <w:proofErr w:type="spellStart"/>
      <w:r w:rsidRPr="00015F30">
        <w:rPr>
          <w:rFonts w:ascii="Times New Roman" w:hAnsi="Times New Roman" w:cs="Times New Roman"/>
          <w:color w:val="000000"/>
          <w:sz w:val="24"/>
          <w:szCs w:val="24"/>
        </w:rPr>
        <w:t>Jarque-Bera</w:t>
      </w:r>
      <w:proofErr w:type="spellEnd"/>
      <w:r w:rsidRPr="00015F30">
        <w:rPr>
          <w:rFonts w:ascii="Times New Roman" w:hAnsi="Times New Roman" w:cs="Times New Roman"/>
          <w:color w:val="000000"/>
          <w:sz w:val="24"/>
          <w:szCs w:val="24"/>
        </w:rPr>
        <w:t xml:space="preserve"> test is statistically significant for all the variables except OPEN. This implies that the null hypothesis of normality for these variables can be rejected.</w:t>
      </w:r>
    </w:p>
    <w:p w:rsidR="00DB32C1" w:rsidRPr="00F2002E" w:rsidRDefault="00DB32C1" w:rsidP="00DB32C1">
      <w:pPr>
        <w:pStyle w:val="T1"/>
      </w:pPr>
      <w:bookmarkStart w:id="26" w:name="_Toc115647335"/>
      <w:r w:rsidRPr="00F2002E">
        <w:t>Table 2: Descriptive Analysis</w:t>
      </w:r>
      <w:bookmarkEnd w:id="26"/>
    </w:p>
    <w:tbl>
      <w:tblPr>
        <w:tblStyle w:val="TableGrid"/>
        <w:tblW w:w="11695" w:type="dxa"/>
        <w:jc w:val="center"/>
        <w:tblLayout w:type="fixed"/>
        <w:tblLook w:val="04A0" w:firstRow="1" w:lastRow="0" w:firstColumn="1" w:lastColumn="0" w:noHBand="0" w:noVBand="1"/>
      </w:tblPr>
      <w:tblGrid>
        <w:gridCol w:w="1438"/>
        <w:gridCol w:w="1075"/>
        <w:gridCol w:w="1080"/>
        <w:gridCol w:w="1172"/>
        <w:gridCol w:w="990"/>
        <w:gridCol w:w="1087"/>
        <w:gridCol w:w="1080"/>
        <w:gridCol w:w="990"/>
        <w:gridCol w:w="1523"/>
        <w:gridCol w:w="1260"/>
      </w:tblGrid>
      <w:tr w:rsidR="00DB32C1" w:rsidRPr="00DB32C1" w:rsidTr="00DB32C1">
        <w:trPr>
          <w:jc w:val="center"/>
        </w:trPr>
        <w:tc>
          <w:tcPr>
            <w:tcW w:w="1438" w:type="dxa"/>
          </w:tcPr>
          <w:p w:rsidR="00DB32C1" w:rsidRPr="00DB32C1" w:rsidRDefault="00DB32C1" w:rsidP="00DB32C1">
            <w:pPr>
              <w:spacing w:after="0" w:line="240" w:lineRule="auto"/>
              <w:rPr>
                <w:rFonts w:ascii="Times New Roman" w:hAnsi="Times New Roman" w:cs="Times New Roman"/>
                <w:sz w:val="20"/>
                <w:szCs w:val="20"/>
              </w:rPr>
            </w:pPr>
          </w:p>
        </w:tc>
        <w:tc>
          <w:tcPr>
            <w:tcW w:w="1075" w:type="dxa"/>
          </w:tcPr>
          <w:p w:rsidR="00DB32C1" w:rsidRPr="00DB32C1" w:rsidRDefault="00DB32C1" w:rsidP="00DB32C1">
            <w:pPr>
              <w:spacing w:after="0" w:line="240" w:lineRule="auto"/>
              <w:jc w:val="center"/>
              <w:rPr>
                <w:rFonts w:ascii="Times New Roman" w:hAnsi="Times New Roman" w:cs="Times New Roman"/>
                <w:sz w:val="20"/>
                <w:szCs w:val="20"/>
              </w:rPr>
            </w:pPr>
            <w:r w:rsidRPr="00DB32C1">
              <w:rPr>
                <w:rFonts w:ascii="Times New Roman" w:hAnsi="Times New Roman" w:cs="Times New Roman"/>
                <w:sz w:val="20"/>
                <w:szCs w:val="20"/>
              </w:rPr>
              <w:t>Mean</w:t>
            </w:r>
          </w:p>
        </w:tc>
        <w:tc>
          <w:tcPr>
            <w:tcW w:w="1080" w:type="dxa"/>
          </w:tcPr>
          <w:p w:rsidR="00DB32C1" w:rsidRPr="00DB32C1" w:rsidRDefault="00DB32C1" w:rsidP="00DB32C1">
            <w:pPr>
              <w:spacing w:after="0" w:line="240" w:lineRule="auto"/>
              <w:jc w:val="center"/>
              <w:rPr>
                <w:rFonts w:ascii="Times New Roman" w:hAnsi="Times New Roman" w:cs="Times New Roman"/>
                <w:sz w:val="20"/>
                <w:szCs w:val="20"/>
              </w:rPr>
            </w:pPr>
            <w:r w:rsidRPr="00DB32C1">
              <w:rPr>
                <w:rFonts w:ascii="Times New Roman" w:hAnsi="Times New Roman" w:cs="Times New Roman"/>
                <w:sz w:val="20"/>
                <w:szCs w:val="20"/>
              </w:rPr>
              <w:t>Median</w:t>
            </w:r>
          </w:p>
        </w:tc>
        <w:tc>
          <w:tcPr>
            <w:tcW w:w="1172" w:type="dxa"/>
          </w:tcPr>
          <w:p w:rsidR="00DB32C1" w:rsidRPr="00DB32C1" w:rsidRDefault="00DB32C1" w:rsidP="00DB32C1">
            <w:pPr>
              <w:spacing w:after="0" w:line="240" w:lineRule="auto"/>
              <w:jc w:val="center"/>
              <w:rPr>
                <w:rFonts w:ascii="Times New Roman" w:hAnsi="Times New Roman" w:cs="Times New Roman"/>
                <w:sz w:val="20"/>
                <w:szCs w:val="20"/>
              </w:rPr>
            </w:pPr>
            <w:r w:rsidRPr="00DB32C1">
              <w:rPr>
                <w:rFonts w:ascii="Times New Roman" w:hAnsi="Times New Roman" w:cs="Times New Roman"/>
                <w:sz w:val="20"/>
                <w:szCs w:val="20"/>
              </w:rPr>
              <w:t>Max</w:t>
            </w:r>
          </w:p>
        </w:tc>
        <w:tc>
          <w:tcPr>
            <w:tcW w:w="990" w:type="dxa"/>
          </w:tcPr>
          <w:p w:rsidR="00DB32C1" w:rsidRPr="00DB32C1" w:rsidRDefault="00DB32C1" w:rsidP="00DB32C1">
            <w:pPr>
              <w:spacing w:after="0" w:line="240" w:lineRule="auto"/>
              <w:jc w:val="center"/>
              <w:rPr>
                <w:rFonts w:ascii="Times New Roman" w:hAnsi="Times New Roman" w:cs="Times New Roman"/>
                <w:sz w:val="20"/>
                <w:szCs w:val="20"/>
              </w:rPr>
            </w:pPr>
            <w:r w:rsidRPr="00DB32C1">
              <w:rPr>
                <w:rFonts w:ascii="Times New Roman" w:hAnsi="Times New Roman" w:cs="Times New Roman"/>
                <w:sz w:val="20"/>
                <w:szCs w:val="20"/>
              </w:rPr>
              <w:t>Min</w:t>
            </w:r>
          </w:p>
        </w:tc>
        <w:tc>
          <w:tcPr>
            <w:tcW w:w="1087" w:type="dxa"/>
          </w:tcPr>
          <w:p w:rsidR="00DB32C1" w:rsidRPr="00DB32C1" w:rsidRDefault="00DB32C1" w:rsidP="00DB32C1">
            <w:pPr>
              <w:spacing w:after="0" w:line="240" w:lineRule="auto"/>
              <w:jc w:val="center"/>
              <w:rPr>
                <w:rFonts w:ascii="Times New Roman" w:hAnsi="Times New Roman" w:cs="Times New Roman"/>
                <w:sz w:val="20"/>
                <w:szCs w:val="20"/>
              </w:rPr>
            </w:pPr>
            <w:r w:rsidRPr="00DB32C1">
              <w:rPr>
                <w:rFonts w:ascii="Times New Roman" w:hAnsi="Times New Roman" w:cs="Times New Roman"/>
                <w:sz w:val="20"/>
                <w:szCs w:val="20"/>
              </w:rPr>
              <w:t>Std. Dev</w:t>
            </w:r>
          </w:p>
        </w:tc>
        <w:tc>
          <w:tcPr>
            <w:tcW w:w="1080" w:type="dxa"/>
          </w:tcPr>
          <w:p w:rsidR="00DB32C1" w:rsidRPr="00DB32C1" w:rsidRDefault="00DB32C1" w:rsidP="00DB32C1">
            <w:pPr>
              <w:spacing w:after="0" w:line="240" w:lineRule="auto"/>
              <w:jc w:val="center"/>
              <w:rPr>
                <w:rFonts w:ascii="Times New Roman" w:hAnsi="Times New Roman" w:cs="Times New Roman"/>
                <w:sz w:val="20"/>
                <w:szCs w:val="20"/>
              </w:rPr>
            </w:pPr>
            <w:r w:rsidRPr="00DB32C1">
              <w:rPr>
                <w:rFonts w:ascii="Times New Roman" w:hAnsi="Times New Roman" w:cs="Times New Roman"/>
                <w:sz w:val="20"/>
                <w:szCs w:val="20"/>
              </w:rPr>
              <w:t>Skewness</w:t>
            </w:r>
          </w:p>
        </w:tc>
        <w:tc>
          <w:tcPr>
            <w:tcW w:w="990" w:type="dxa"/>
          </w:tcPr>
          <w:p w:rsidR="00DB32C1" w:rsidRPr="00DB32C1" w:rsidRDefault="00DB32C1" w:rsidP="00DB32C1">
            <w:pPr>
              <w:spacing w:after="0" w:line="240" w:lineRule="auto"/>
              <w:jc w:val="center"/>
              <w:rPr>
                <w:rFonts w:ascii="Times New Roman" w:hAnsi="Times New Roman" w:cs="Times New Roman"/>
                <w:sz w:val="20"/>
                <w:szCs w:val="20"/>
              </w:rPr>
            </w:pPr>
            <w:r w:rsidRPr="00DB32C1">
              <w:rPr>
                <w:rFonts w:ascii="Times New Roman" w:hAnsi="Times New Roman" w:cs="Times New Roman"/>
                <w:sz w:val="20"/>
                <w:szCs w:val="20"/>
              </w:rPr>
              <w:t>Kurtosis</w:t>
            </w:r>
          </w:p>
        </w:tc>
        <w:tc>
          <w:tcPr>
            <w:tcW w:w="1523" w:type="dxa"/>
          </w:tcPr>
          <w:p w:rsidR="00DB32C1" w:rsidRPr="00DB32C1" w:rsidRDefault="00DB32C1" w:rsidP="00DB32C1">
            <w:pPr>
              <w:spacing w:after="0" w:line="240" w:lineRule="auto"/>
              <w:jc w:val="center"/>
              <w:rPr>
                <w:rFonts w:ascii="Times New Roman" w:hAnsi="Times New Roman" w:cs="Times New Roman"/>
                <w:sz w:val="20"/>
                <w:szCs w:val="20"/>
              </w:rPr>
            </w:pPr>
            <w:proofErr w:type="spellStart"/>
            <w:r w:rsidRPr="00DB32C1">
              <w:rPr>
                <w:rFonts w:ascii="Times New Roman" w:hAnsi="Times New Roman" w:cs="Times New Roman"/>
                <w:sz w:val="20"/>
                <w:szCs w:val="20"/>
              </w:rPr>
              <w:t>Jarque-Bera</w:t>
            </w:r>
            <w:proofErr w:type="spellEnd"/>
          </w:p>
        </w:tc>
        <w:tc>
          <w:tcPr>
            <w:tcW w:w="1260" w:type="dxa"/>
          </w:tcPr>
          <w:p w:rsidR="00DB32C1" w:rsidRPr="00DB32C1" w:rsidRDefault="00DB32C1" w:rsidP="00DB32C1">
            <w:pPr>
              <w:spacing w:after="0" w:line="240" w:lineRule="auto"/>
              <w:jc w:val="center"/>
              <w:rPr>
                <w:rFonts w:ascii="Times New Roman" w:hAnsi="Times New Roman" w:cs="Times New Roman"/>
                <w:sz w:val="20"/>
                <w:szCs w:val="20"/>
              </w:rPr>
            </w:pPr>
            <w:r w:rsidRPr="00DB32C1">
              <w:rPr>
                <w:rFonts w:ascii="Times New Roman" w:hAnsi="Times New Roman" w:cs="Times New Roman"/>
                <w:sz w:val="20"/>
                <w:szCs w:val="20"/>
              </w:rPr>
              <w:t>Observations</w:t>
            </w:r>
          </w:p>
        </w:tc>
      </w:tr>
      <w:tr w:rsidR="00DB32C1" w:rsidRPr="00DB32C1" w:rsidTr="00DB32C1">
        <w:trPr>
          <w:jc w:val="center"/>
        </w:trPr>
        <w:tc>
          <w:tcPr>
            <w:tcW w:w="1438" w:type="dxa"/>
          </w:tcPr>
          <w:p w:rsidR="00DB32C1" w:rsidRPr="00DB32C1" w:rsidRDefault="00DB32C1" w:rsidP="00DB32C1">
            <w:pPr>
              <w:spacing w:after="0" w:line="240" w:lineRule="auto"/>
              <w:jc w:val="center"/>
              <w:rPr>
                <w:rFonts w:ascii="Times New Roman" w:hAnsi="Times New Roman" w:cs="Times New Roman"/>
                <w:sz w:val="20"/>
                <w:szCs w:val="20"/>
              </w:rPr>
            </w:pPr>
            <w:r w:rsidRPr="00DB32C1">
              <w:rPr>
                <w:rFonts w:ascii="Times New Roman" w:hAnsi="Times New Roman" w:cs="Times New Roman"/>
                <w:color w:val="000000"/>
                <w:sz w:val="20"/>
                <w:szCs w:val="20"/>
              </w:rPr>
              <w:t>TNOE</w:t>
            </w:r>
          </w:p>
        </w:tc>
        <w:tc>
          <w:tcPr>
            <w:tcW w:w="1075"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429731.6</w:t>
            </w:r>
          </w:p>
        </w:tc>
        <w:tc>
          <w:tcPr>
            <w:tcW w:w="1080"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34070.2</w:t>
            </w:r>
          </w:p>
        </w:tc>
        <w:tc>
          <w:tcPr>
            <w:tcW w:w="1172"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3207100</w:t>
            </w:r>
          </w:p>
        </w:tc>
        <w:tc>
          <w:tcPr>
            <w:tcW w:w="990"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203.20</w:t>
            </w:r>
          </w:p>
        </w:tc>
        <w:tc>
          <w:tcPr>
            <w:tcW w:w="1087"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710778.8</w:t>
            </w:r>
          </w:p>
        </w:tc>
        <w:tc>
          <w:tcPr>
            <w:tcW w:w="1080"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2.224</w:t>
            </w:r>
          </w:p>
        </w:tc>
        <w:tc>
          <w:tcPr>
            <w:tcW w:w="990"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8.094</w:t>
            </w:r>
          </w:p>
        </w:tc>
        <w:tc>
          <w:tcPr>
            <w:tcW w:w="1523"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78.158***</w:t>
            </w:r>
          </w:p>
        </w:tc>
        <w:tc>
          <w:tcPr>
            <w:tcW w:w="1260" w:type="dxa"/>
          </w:tcPr>
          <w:p w:rsidR="00DB32C1" w:rsidRPr="00DB32C1" w:rsidRDefault="00DB32C1" w:rsidP="00DB32C1">
            <w:pPr>
              <w:spacing w:after="0" w:line="240" w:lineRule="auto"/>
              <w:jc w:val="center"/>
              <w:rPr>
                <w:rFonts w:ascii="Times New Roman" w:hAnsi="Times New Roman" w:cs="Times New Roman"/>
                <w:sz w:val="20"/>
                <w:szCs w:val="20"/>
              </w:rPr>
            </w:pPr>
            <w:r w:rsidRPr="00DB32C1">
              <w:rPr>
                <w:rFonts w:ascii="Times New Roman" w:hAnsi="Times New Roman" w:cs="Times New Roman"/>
                <w:color w:val="000000"/>
                <w:sz w:val="20"/>
                <w:szCs w:val="20"/>
              </w:rPr>
              <w:t>41</w:t>
            </w:r>
          </w:p>
        </w:tc>
      </w:tr>
      <w:tr w:rsidR="00DB32C1" w:rsidRPr="00DB32C1" w:rsidTr="00DB32C1">
        <w:trPr>
          <w:jc w:val="center"/>
        </w:trPr>
        <w:tc>
          <w:tcPr>
            <w:tcW w:w="1438" w:type="dxa"/>
          </w:tcPr>
          <w:p w:rsidR="00DB32C1" w:rsidRPr="00DB32C1" w:rsidRDefault="00DB32C1" w:rsidP="00DB32C1">
            <w:pPr>
              <w:spacing w:after="0" w:line="240" w:lineRule="auto"/>
              <w:jc w:val="center"/>
              <w:rPr>
                <w:rFonts w:ascii="Times New Roman" w:hAnsi="Times New Roman" w:cs="Times New Roman"/>
                <w:color w:val="000000"/>
                <w:sz w:val="20"/>
                <w:szCs w:val="20"/>
              </w:rPr>
            </w:pPr>
            <w:r w:rsidRPr="00DB32C1">
              <w:rPr>
                <w:rFonts w:ascii="Times New Roman" w:hAnsi="Times New Roman" w:cs="Times New Roman"/>
                <w:color w:val="000000"/>
                <w:sz w:val="20"/>
                <w:szCs w:val="20"/>
              </w:rPr>
              <w:t>TNOE/GDP</w:t>
            </w:r>
          </w:p>
        </w:tc>
        <w:tc>
          <w:tcPr>
            <w:tcW w:w="1075"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689.14</w:t>
            </w:r>
          </w:p>
        </w:tc>
        <w:tc>
          <w:tcPr>
            <w:tcW w:w="1080"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142.97</w:t>
            </w:r>
          </w:p>
        </w:tc>
        <w:tc>
          <w:tcPr>
            <w:tcW w:w="1172"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4492.50</w:t>
            </w:r>
          </w:p>
        </w:tc>
        <w:tc>
          <w:tcPr>
            <w:tcW w:w="990"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1.115</w:t>
            </w:r>
          </w:p>
        </w:tc>
        <w:tc>
          <w:tcPr>
            <w:tcW w:w="1087"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 1004.75</w:t>
            </w:r>
          </w:p>
        </w:tc>
        <w:tc>
          <w:tcPr>
            <w:tcW w:w="1080"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1.974</w:t>
            </w:r>
          </w:p>
        </w:tc>
        <w:tc>
          <w:tcPr>
            <w:tcW w:w="990"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7.044</w:t>
            </w:r>
          </w:p>
        </w:tc>
        <w:tc>
          <w:tcPr>
            <w:tcW w:w="1523"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54.587***</w:t>
            </w:r>
          </w:p>
        </w:tc>
        <w:tc>
          <w:tcPr>
            <w:tcW w:w="1260" w:type="dxa"/>
          </w:tcPr>
          <w:p w:rsidR="00DB32C1" w:rsidRPr="00DB32C1" w:rsidRDefault="00DB32C1" w:rsidP="00DB32C1">
            <w:pPr>
              <w:spacing w:after="0" w:line="240" w:lineRule="auto"/>
              <w:jc w:val="center"/>
              <w:rPr>
                <w:rFonts w:ascii="Times New Roman" w:hAnsi="Times New Roman" w:cs="Times New Roman"/>
                <w:sz w:val="20"/>
                <w:szCs w:val="20"/>
              </w:rPr>
            </w:pPr>
            <w:r w:rsidRPr="00DB32C1">
              <w:rPr>
                <w:rFonts w:ascii="Times New Roman" w:hAnsi="Times New Roman" w:cs="Times New Roman"/>
                <w:color w:val="000000"/>
                <w:sz w:val="20"/>
                <w:szCs w:val="20"/>
              </w:rPr>
              <w:t>41</w:t>
            </w:r>
          </w:p>
        </w:tc>
      </w:tr>
      <w:tr w:rsidR="00DB32C1" w:rsidRPr="00DB32C1" w:rsidTr="00DB32C1">
        <w:trPr>
          <w:jc w:val="center"/>
        </w:trPr>
        <w:tc>
          <w:tcPr>
            <w:tcW w:w="1438" w:type="dxa"/>
          </w:tcPr>
          <w:p w:rsidR="00DB32C1" w:rsidRPr="00DB32C1" w:rsidRDefault="00DB32C1" w:rsidP="00DB32C1">
            <w:pPr>
              <w:spacing w:after="0" w:line="240" w:lineRule="auto"/>
              <w:jc w:val="center"/>
              <w:rPr>
                <w:rFonts w:ascii="Times New Roman" w:hAnsi="Times New Roman" w:cs="Times New Roman"/>
                <w:sz w:val="20"/>
                <w:szCs w:val="20"/>
              </w:rPr>
            </w:pPr>
            <w:r w:rsidRPr="00DB32C1">
              <w:rPr>
                <w:rFonts w:ascii="Times New Roman" w:hAnsi="Times New Roman" w:cs="Times New Roman"/>
                <w:color w:val="000000"/>
                <w:sz w:val="20"/>
                <w:szCs w:val="20"/>
              </w:rPr>
              <w:t>GR_TNOE</w:t>
            </w:r>
          </w:p>
        </w:tc>
        <w:tc>
          <w:tcPr>
            <w:tcW w:w="1075"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37.331</w:t>
            </w:r>
          </w:p>
        </w:tc>
        <w:tc>
          <w:tcPr>
            <w:tcW w:w="1080"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18.059</w:t>
            </w:r>
          </w:p>
        </w:tc>
        <w:tc>
          <w:tcPr>
            <w:tcW w:w="1172"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331.78</w:t>
            </w:r>
          </w:p>
        </w:tc>
        <w:tc>
          <w:tcPr>
            <w:tcW w:w="990"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-100.00</w:t>
            </w:r>
          </w:p>
        </w:tc>
        <w:tc>
          <w:tcPr>
            <w:tcW w:w="1087"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84.71</w:t>
            </w:r>
          </w:p>
        </w:tc>
        <w:tc>
          <w:tcPr>
            <w:tcW w:w="1080"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1.964</w:t>
            </w:r>
          </w:p>
        </w:tc>
        <w:tc>
          <w:tcPr>
            <w:tcW w:w="990"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7.014</w:t>
            </w:r>
          </w:p>
        </w:tc>
        <w:tc>
          <w:tcPr>
            <w:tcW w:w="1523"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53.895***</w:t>
            </w:r>
          </w:p>
        </w:tc>
        <w:tc>
          <w:tcPr>
            <w:tcW w:w="1260" w:type="dxa"/>
          </w:tcPr>
          <w:p w:rsidR="00DB32C1" w:rsidRPr="00DB32C1" w:rsidRDefault="00DB32C1" w:rsidP="00DB32C1">
            <w:pPr>
              <w:spacing w:after="0" w:line="240" w:lineRule="auto"/>
              <w:jc w:val="center"/>
              <w:rPr>
                <w:rFonts w:ascii="Times New Roman" w:hAnsi="Times New Roman" w:cs="Times New Roman"/>
                <w:sz w:val="20"/>
                <w:szCs w:val="20"/>
              </w:rPr>
            </w:pPr>
            <w:r w:rsidRPr="00DB32C1">
              <w:rPr>
                <w:rFonts w:ascii="Times New Roman" w:hAnsi="Times New Roman" w:cs="Times New Roman"/>
                <w:color w:val="000000"/>
                <w:sz w:val="20"/>
                <w:szCs w:val="20"/>
              </w:rPr>
              <w:t>41</w:t>
            </w:r>
          </w:p>
        </w:tc>
      </w:tr>
      <w:tr w:rsidR="00DB32C1" w:rsidRPr="00DB32C1" w:rsidTr="00DB32C1">
        <w:trPr>
          <w:jc w:val="center"/>
        </w:trPr>
        <w:tc>
          <w:tcPr>
            <w:tcW w:w="1438" w:type="dxa"/>
          </w:tcPr>
          <w:p w:rsidR="00DB32C1" w:rsidRPr="00DB32C1" w:rsidRDefault="00DB32C1" w:rsidP="00DB32C1">
            <w:pPr>
              <w:spacing w:after="0" w:line="240" w:lineRule="auto"/>
              <w:jc w:val="center"/>
              <w:rPr>
                <w:rFonts w:ascii="Times New Roman" w:hAnsi="Times New Roman" w:cs="Times New Roman"/>
                <w:color w:val="000000"/>
                <w:sz w:val="20"/>
                <w:szCs w:val="20"/>
              </w:rPr>
            </w:pPr>
            <w:r w:rsidRPr="00DB32C1">
              <w:rPr>
                <w:rFonts w:ascii="Times New Roman" w:hAnsi="Times New Roman" w:cs="Times New Roman"/>
                <w:color w:val="000000"/>
                <w:sz w:val="20"/>
                <w:szCs w:val="20"/>
              </w:rPr>
              <w:t>TNOE/TE</w:t>
            </w:r>
          </w:p>
        </w:tc>
        <w:tc>
          <w:tcPr>
            <w:tcW w:w="1075"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4.988</w:t>
            </w:r>
          </w:p>
        </w:tc>
        <w:tc>
          <w:tcPr>
            <w:tcW w:w="1080"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4.241</w:t>
            </w:r>
          </w:p>
        </w:tc>
        <w:tc>
          <w:tcPr>
            <w:tcW w:w="1172"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16.107</w:t>
            </w:r>
          </w:p>
        </w:tc>
        <w:tc>
          <w:tcPr>
            <w:tcW w:w="990"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1.275</w:t>
            </w:r>
          </w:p>
        </w:tc>
        <w:tc>
          <w:tcPr>
            <w:tcW w:w="1087"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3.336</w:t>
            </w:r>
          </w:p>
        </w:tc>
        <w:tc>
          <w:tcPr>
            <w:tcW w:w="1080"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1.364</w:t>
            </w:r>
          </w:p>
        </w:tc>
        <w:tc>
          <w:tcPr>
            <w:tcW w:w="990"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4.915</w:t>
            </w:r>
          </w:p>
        </w:tc>
        <w:tc>
          <w:tcPr>
            <w:tcW w:w="1523"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18.990***</w:t>
            </w:r>
          </w:p>
        </w:tc>
        <w:tc>
          <w:tcPr>
            <w:tcW w:w="1260" w:type="dxa"/>
          </w:tcPr>
          <w:p w:rsidR="00DB32C1" w:rsidRPr="00DB32C1" w:rsidRDefault="00DB32C1" w:rsidP="00DB32C1">
            <w:pPr>
              <w:spacing w:after="0" w:line="240" w:lineRule="auto"/>
              <w:jc w:val="center"/>
              <w:rPr>
                <w:rFonts w:ascii="Times New Roman" w:hAnsi="Times New Roman" w:cs="Times New Roman"/>
                <w:sz w:val="20"/>
                <w:szCs w:val="20"/>
              </w:rPr>
            </w:pPr>
            <w:r w:rsidRPr="00DB32C1">
              <w:rPr>
                <w:rFonts w:ascii="Times New Roman" w:hAnsi="Times New Roman" w:cs="Times New Roman"/>
                <w:color w:val="000000"/>
                <w:sz w:val="20"/>
                <w:szCs w:val="20"/>
              </w:rPr>
              <w:t>41</w:t>
            </w:r>
          </w:p>
        </w:tc>
      </w:tr>
      <w:tr w:rsidR="00DB32C1" w:rsidRPr="00DB32C1" w:rsidTr="00DB32C1">
        <w:trPr>
          <w:jc w:val="center"/>
        </w:trPr>
        <w:tc>
          <w:tcPr>
            <w:tcW w:w="1438" w:type="dxa"/>
          </w:tcPr>
          <w:p w:rsidR="00DB32C1" w:rsidRPr="00DB32C1" w:rsidRDefault="00DB32C1" w:rsidP="00DB32C1">
            <w:pPr>
              <w:spacing w:after="0" w:line="240" w:lineRule="auto"/>
              <w:jc w:val="center"/>
              <w:rPr>
                <w:rFonts w:ascii="Times New Roman" w:hAnsi="Times New Roman" w:cs="Times New Roman"/>
                <w:sz w:val="20"/>
                <w:szCs w:val="20"/>
              </w:rPr>
            </w:pPr>
            <w:r w:rsidRPr="00DB32C1">
              <w:rPr>
                <w:rFonts w:ascii="Times New Roman" w:hAnsi="Times New Roman" w:cs="Times New Roman"/>
                <w:color w:val="000000"/>
                <w:sz w:val="20"/>
                <w:szCs w:val="20"/>
              </w:rPr>
              <w:t>TEX</w:t>
            </w:r>
          </w:p>
        </w:tc>
        <w:tc>
          <w:tcPr>
            <w:tcW w:w="1075"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5715124</w:t>
            </w:r>
          </w:p>
        </w:tc>
        <w:tc>
          <w:tcPr>
            <w:tcW w:w="1080"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1867954</w:t>
            </w:r>
          </w:p>
        </w:tc>
        <w:tc>
          <w:tcPr>
            <w:tcW w:w="1172" w:type="dxa"/>
            <w:vAlign w:val="center"/>
          </w:tcPr>
          <w:p w:rsidR="00DB32C1" w:rsidRPr="00DB32C1" w:rsidRDefault="00DB32C1" w:rsidP="00DB32C1">
            <w:pPr>
              <w:spacing w:after="0" w:line="240" w:lineRule="auto"/>
              <w:jc w:val="center"/>
              <w:rPr>
                <w:rFonts w:ascii="Times New Roman" w:hAnsi="Times New Roman" w:cs="Times New Roman"/>
                <w:sz w:val="20"/>
                <w:szCs w:val="20"/>
              </w:rPr>
            </w:pPr>
            <w:r w:rsidRPr="00DB32C1">
              <w:rPr>
                <w:rFonts w:ascii="Times New Roman" w:hAnsi="Times New Roman" w:cs="Times New Roman"/>
                <w:color w:val="000000"/>
                <w:sz w:val="20"/>
                <w:szCs w:val="20"/>
              </w:rPr>
              <w:t>19910534</w:t>
            </w:r>
          </w:p>
        </w:tc>
        <w:tc>
          <w:tcPr>
            <w:tcW w:w="990"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 7502.5</w:t>
            </w:r>
          </w:p>
        </w:tc>
        <w:tc>
          <w:tcPr>
            <w:tcW w:w="1087"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6515761</w:t>
            </w:r>
          </w:p>
        </w:tc>
        <w:tc>
          <w:tcPr>
            <w:tcW w:w="1080"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0.787</w:t>
            </w:r>
          </w:p>
        </w:tc>
        <w:tc>
          <w:tcPr>
            <w:tcW w:w="990"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2.216</w:t>
            </w:r>
          </w:p>
        </w:tc>
        <w:tc>
          <w:tcPr>
            <w:tcW w:w="1523"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5.289*</w:t>
            </w:r>
          </w:p>
        </w:tc>
        <w:tc>
          <w:tcPr>
            <w:tcW w:w="1260" w:type="dxa"/>
          </w:tcPr>
          <w:p w:rsidR="00DB32C1" w:rsidRPr="00DB32C1" w:rsidRDefault="00DB32C1" w:rsidP="00DB32C1">
            <w:pPr>
              <w:spacing w:after="0" w:line="240" w:lineRule="auto"/>
              <w:jc w:val="center"/>
              <w:rPr>
                <w:rFonts w:ascii="Times New Roman" w:hAnsi="Times New Roman" w:cs="Times New Roman"/>
                <w:sz w:val="20"/>
                <w:szCs w:val="20"/>
              </w:rPr>
            </w:pPr>
            <w:r w:rsidRPr="00DB32C1">
              <w:rPr>
                <w:rFonts w:ascii="Times New Roman" w:hAnsi="Times New Roman" w:cs="Times New Roman"/>
                <w:color w:val="000000"/>
                <w:sz w:val="20"/>
                <w:szCs w:val="20"/>
              </w:rPr>
              <w:t>41</w:t>
            </w:r>
          </w:p>
        </w:tc>
      </w:tr>
      <w:tr w:rsidR="00DB32C1" w:rsidRPr="00DB32C1" w:rsidTr="00DB32C1">
        <w:trPr>
          <w:jc w:val="center"/>
        </w:trPr>
        <w:tc>
          <w:tcPr>
            <w:tcW w:w="1438" w:type="dxa"/>
          </w:tcPr>
          <w:p w:rsidR="00DB32C1" w:rsidRPr="00DB32C1" w:rsidRDefault="00DB32C1" w:rsidP="00DB32C1">
            <w:pPr>
              <w:spacing w:after="0" w:line="240" w:lineRule="auto"/>
              <w:jc w:val="center"/>
              <w:rPr>
                <w:rFonts w:ascii="Times New Roman" w:hAnsi="Times New Roman" w:cs="Times New Roman"/>
                <w:sz w:val="20"/>
                <w:szCs w:val="20"/>
              </w:rPr>
            </w:pPr>
            <w:r w:rsidRPr="00DB32C1">
              <w:rPr>
                <w:rFonts w:ascii="Times New Roman" w:hAnsi="Times New Roman" w:cs="Times New Roman"/>
                <w:color w:val="000000"/>
                <w:sz w:val="20"/>
                <w:szCs w:val="20"/>
              </w:rPr>
              <w:t>CBEC</w:t>
            </w:r>
          </w:p>
        </w:tc>
        <w:tc>
          <w:tcPr>
            <w:tcW w:w="1075"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247.13</w:t>
            </w:r>
          </w:p>
        </w:tc>
        <w:tc>
          <w:tcPr>
            <w:tcW w:w="1080"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26.709</w:t>
            </w:r>
          </w:p>
        </w:tc>
        <w:tc>
          <w:tcPr>
            <w:tcW w:w="1172"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 1708.37</w:t>
            </w:r>
          </w:p>
        </w:tc>
        <w:tc>
          <w:tcPr>
            <w:tcW w:w="990"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 0.107</w:t>
            </w:r>
          </w:p>
        </w:tc>
        <w:tc>
          <w:tcPr>
            <w:tcW w:w="1087"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 475.62</w:t>
            </w:r>
          </w:p>
        </w:tc>
        <w:tc>
          <w:tcPr>
            <w:tcW w:w="1080"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1.741</w:t>
            </w:r>
          </w:p>
        </w:tc>
        <w:tc>
          <w:tcPr>
            <w:tcW w:w="990"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 4.472</w:t>
            </w:r>
          </w:p>
        </w:tc>
        <w:tc>
          <w:tcPr>
            <w:tcW w:w="1523"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 24.429***</w:t>
            </w:r>
          </w:p>
        </w:tc>
        <w:tc>
          <w:tcPr>
            <w:tcW w:w="1260" w:type="dxa"/>
          </w:tcPr>
          <w:p w:rsidR="00DB32C1" w:rsidRPr="00DB32C1" w:rsidRDefault="00DB32C1" w:rsidP="00DB32C1">
            <w:pPr>
              <w:spacing w:after="0" w:line="240" w:lineRule="auto"/>
              <w:jc w:val="center"/>
              <w:rPr>
                <w:rFonts w:ascii="Times New Roman" w:hAnsi="Times New Roman" w:cs="Times New Roman"/>
                <w:sz w:val="20"/>
                <w:szCs w:val="20"/>
              </w:rPr>
            </w:pPr>
            <w:r w:rsidRPr="00DB32C1">
              <w:rPr>
                <w:rFonts w:ascii="Times New Roman" w:hAnsi="Times New Roman" w:cs="Times New Roman"/>
                <w:color w:val="000000"/>
                <w:sz w:val="20"/>
                <w:szCs w:val="20"/>
              </w:rPr>
              <w:t>41</w:t>
            </w:r>
          </w:p>
        </w:tc>
      </w:tr>
      <w:tr w:rsidR="00DB32C1" w:rsidRPr="00DB32C1" w:rsidTr="00DB32C1">
        <w:trPr>
          <w:jc w:val="center"/>
        </w:trPr>
        <w:tc>
          <w:tcPr>
            <w:tcW w:w="1438" w:type="dxa"/>
          </w:tcPr>
          <w:p w:rsidR="00DB32C1" w:rsidRPr="00DB32C1" w:rsidRDefault="00DB32C1" w:rsidP="00DB32C1">
            <w:pPr>
              <w:spacing w:after="0" w:line="240" w:lineRule="auto"/>
              <w:jc w:val="center"/>
              <w:rPr>
                <w:rFonts w:ascii="Times New Roman" w:hAnsi="Times New Roman" w:cs="Times New Roman"/>
                <w:color w:val="000000"/>
                <w:sz w:val="20"/>
                <w:szCs w:val="20"/>
              </w:rPr>
            </w:pPr>
            <w:r w:rsidRPr="00DB32C1">
              <w:rPr>
                <w:rFonts w:ascii="Times New Roman" w:hAnsi="Times New Roman" w:cs="Times New Roman"/>
                <w:color w:val="000000"/>
                <w:sz w:val="20"/>
                <w:szCs w:val="20"/>
              </w:rPr>
              <w:t>GR_CBEC</w:t>
            </w:r>
          </w:p>
        </w:tc>
        <w:tc>
          <w:tcPr>
            <w:tcW w:w="1075"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157.77</w:t>
            </w:r>
          </w:p>
        </w:tc>
        <w:tc>
          <w:tcPr>
            <w:tcW w:w="1080"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15.849</w:t>
            </w:r>
          </w:p>
        </w:tc>
        <w:tc>
          <w:tcPr>
            <w:tcW w:w="1172"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 5415.52</w:t>
            </w:r>
          </w:p>
        </w:tc>
        <w:tc>
          <w:tcPr>
            <w:tcW w:w="990"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-100.00</w:t>
            </w:r>
          </w:p>
        </w:tc>
        <w:tc>
          <w:tcPr>
            <w:tcW w:w="1087"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844.95</w:t>
            </w:r>
          </w:p>
        </w:tc>
        <w:tc>
          <w:tcPr>
            <w:tcW w:w="1080"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6.092</w:t>
            </w:r>
          </w:p>
        </w:tc>
        <w:tc>
          <w:tcPr>
            <w:tcW w:w="990"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 38.419</w:t>
            </w:r>
          </w:p>
        </w:tc>
        <w:tc>
          <w:tcPr>
            <w:tcW w:w="1523"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2396.77***</w:t>
            </w:r>
          </w:p>
        </w:tc>
        <w:tc>
          <w:tcPr>
            <w:tcW w:w="1260" w:type="dxa"/>
          </w:tcPr>
          <w:p w:rsidR="00DB32C1" w:rsidRPr="00DB32C1" w:rsidRDefault="00DB32C1" w:rsidP="00DB32C1">
            <w:pPr>
              <w:spacing w:after="0" w:line="240" w:lineRule="auto"/>
              <w:jc w:val="center"/>
              <w:rPr>
                <w:rFonts w:ascii="Times New Roman" w:hAnsi="Times New Roman" w:cs="Times New Roman"/>
                <w:sz w:val="20"/>
                <w:szCs w:val="20"/>
              </w:rPr>
            </w:pPr>
            <w:r w:rsidRPr="00DB32C1">
              <w:rPr>
                <w:rFonts w:ascii="Times New Roman" w:hAnsi="Times New Roman" w:cs="Times New Roman"/>
                <w:color w:val="000000"/>
                <w:sz w:val="20"/>
                <w:szCs w:val="20"/>
              </w:rPr>
              <w:t>41</w:t>
            </w:r>
          </w:p>
        </w:tc>
      </w:tr>
      <w:tr w:rsidR="00DB32C1" w:rsidRPr="00DB32C1" w:rsidTr="00DB32C1">
        <w:trPr>
          <w:jc w:val="center"/>
        </w:trPr>
        <w:tc>
          <w:tcPr>
            <w:tcW w:w="1438" w:type="dxa"/>
          </w:tcPr>
          <w:p w:rsidR="00DB32C1" w:rsidRPr="00DB32C1" w:rsidRDefault="00DB32C1" w:rsidP="00DB32C1">
            <w:pPr>
              <w:spacing w:after="0" w:line="240" w:lineRule="auto"/>
              <w:jc w:val="center"/>
              <w:rPr>
                <w:rFonts w:ascii="Times New Roman" w:hAnsi="Times New Roman" w:cs="Times New Roman"/>
                <w:sz w:val="20"/>
                <w:szCs w:val="20"/>
              </w:rPr>
            </w:pPr>
            <w:r w:rsidRPr="00DB32C1">
              <w:rPr>
                <w:rFonts w:ascii="Times New Roman" w:hAnsi="Times New Roman" w:cs="Times New Roman"/>
                <w:color w:val="000000"/>
                <w:sz w:val="20"/>
                <w:szCs w:val="20"/>
              </w:rPr>
              <w:t>EXCR</w:t>
            </w:r>
          </w:p>
        </w:tc>
        <w:tc>
          <w:tcPr>
            <w:tcW w:w="1075"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108.16</w:t>
            </w:r>
          </w:p>
        </w:tc>
        <w:tc>
          <w:tcPr>
            <w:tcW w:w="1080"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111.94</w:t>
            </w:r>
          </w:p>
        </w:tc>
        <w:tc>
          <w:tcPr>
            <w:tcW w:w="1172"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399.96</w:t>
            </w:r>
          </w:p>
        </w:tc>
        <w:tc>
          <w:tcPr>
            <w:tcW w:w="990"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 0.610</w:t>
            </w:r>
          </w:p>
        </w:tc>
        <w:tc>
          <w:tcPr>
            <w:tcW w:w="1087"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109.91</w:t>
            </w:r>
          </w:p>
        </w:tc>
        <w:tc>
          <w:tcPr>
            <w:tcW w:w="1080"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0.972</w:t>
            </w:r>
          </w:p>
        </w:tc>
        <w:tc>
          <w:tcPr>
            <w:tcW w:w="990"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3.172</w:t>
            </w:r>
          </w:p>
        </w:tc>
        <w:tc>
          <w:tcPr>
            <w:tcW w:w="1523"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6.519**</w:t>
            </w:r>
          </w:p>
        </w:tc>
        <w:tc>
          <w:tcPr>
            <w:tcW w:w="1260" w:type="dxa"/>
          </w:tcPr>
          <w:p w:rsidR="00DB32C1" w:rsidRPr="00DB32C1" w:rsidRDefault="00DB32C1" w:rsidP="00DB32C1">
            <w:pPr>
              <w:spacing w:after="0" w:line="240" w:lineRule="auto"/>
              <w:jc w:val="center"/>
              <w:rPr>
                <w:rFonts w:ascii="Times New Roman" w:hAnsi="Times New Roman" w:cs="Times New Roman"/>
                <w:sz w:val="20"/>
                <w:szCs w:val="20"/>
              </w:rPr>
            </w:pPr>
            <w:r w:rsidRPr="00DB32C1">
              <w:rPr>
                <w:rFonts w:ascii="Times New Roman" w:hAnsi="Times New Roman" w:cs="Times New Roman"/>
                <w:color w:val="000000"/>
                <w:sz w:val="20"/>
                <w:szCs w:val="20"/>
              </w:rPr>
              <w:t>41</w:t>
            </w:r>
          </w:p>
        </w:tc>
      </w:tr>
      <w:tr w:rsidR="00DB32C1" w:rsidRPr="00DB32C1" w:rsidTr="00DB32C1">
        <w:trPr>
          <w:jc w:val="center"/>
        </w:trPr>
        <w:tc>
          <w:tcPr>
            <w:tcW w:w="1438" w:type="dxa"/>
          </w:tcPr>
          <w:p w:rsidR="00DB32C1" w:rsidRPr="00DB32C1" w:rsidRDefault="00DB32C1" w:rsidP="00DB32C1">
            <w:pPr>
              <w:spacing w:after="0" w:line="240" w:lineRule="auto"/>
              <w:jc w:val="center"/>
              <w:rPr>
                <w:rFonts w:ascii="Times New Roman" w:hAnsi="Times New Roman" w:cs="Times New Roman"/>
                <w:sz w:val="20"/>
                <w:szCs w:val="20"/>
              </w:rPr>
            </w:pPr>
            <w:r w:rsidRPr="00DB32C1">
              <w:rPr>
                <w:rFonts w:ascii="Times New Roman" w:hAnsi="Times New Roman" w:cs="Times New Roman"/>
                <w:color w:val="000000"/>
                <w:sz w:val="20"/>
                <w:szCs w:val="20"/>
              </w:rPr>
              <w:t>MPR</w:t>
            </w:r>
          </w:p>
        </w:tc>
        <w:tc>
          <w:tcPr>
            <w:tcW w:w="1075"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13.000</w:t>
            </w:r>
          </w:p>
        </w:tc>
        <w:tc>
          <w:tcPr>
            <w:tcW w:w="1080"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13.000</w:t>
            </w:r>
          </w:p>
        </w:tc>
        <w:tc>
          <w:tcPr>
            <w:tcW w:w="1172"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26.000</w:t>
            </w:r>
          </w:p>
        </w:tc>
        <w:tc>
          <w:tcPr>
            <w:tcW w:w="990"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6.000</w:t>
            </w:r>
          </w:p>
        </w:tc>
        <w:tc>
          <w:tcPr>
            <w:tcW w:w="1087"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3.959</w:t>
            </w:r>
          </w:p>
        </w:tc>
        <w:tc>
          <w:tcPr>
            <w:tcW w:w="1080"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0.734</w:t>
            </w:r>
          </w:p>
        </w:tc>
        <w:tc>
          <w:tcPr>
            <w:tcW w:w="990"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4.542</w:t>
            </w:r>
          </w:p>
        </w:tc>
        <w:tc>
          <w:tcPr>
            <w:tcW w:w="1523"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7.750**</w:t>
            </w:r>
          </w:p>
        </w:tc>
        <w:tc>
          <w:tcPr>
            <w:tcW w:w="1260" w:type="dxa"/>
          </w:tcPr>
          <w:p w:rsidR="00DB32C1" w:rsidRPr="00DB32C1" w:rsidRDefault="00DB32C1" w:rsidP="00DB32C1">
            <w:pPr>
              <w:spacing w:after="0" w:line="240" w:lineRule="auto"/>
              <w:jc w:val="center"/>
              <w:rPr>
                <w:rFonts w:ascii="Times New Roman" w:hAnsi="Times New Roman" w:cs="Times New Roman"/>
                <w:sz w:val="20"/>
                <w:szCs w:val="20"/>
              </w:rPr>
            </w:pPr>
            <w:r w:rsidRPr="00DB32C1">
              <w:rPr>
                <w:rFonts w:ascii="Times New Roman" w:hAnsi="Times New Roman" w:cs="Times New Roman"/>
                <w:color w:val="000000"/>
                <w:sz w:val="20"/>
                <w:szCs w:val="20"/>
              </w:rPr>
              <w:t>41</w:t>
            </w:r>
          </w:p>
        </w:tc>
      </w:tr>
      <w:tr w:rsidR="00DB32C1" w:rsidRPr="00DB32C1" w:rsidTr="00DB32C1">
        <w:trPr>
          <w:jc w:val="center"/>
        </w:trPr>
        <w:tc>
          <w:tcPr>
            <w:tcW w:w="1438" w:type="dxa"/>
            <w:vAlign w:val="bottom"/>
          </w:tcPr>
          <w:p w:rsidR="00DB32C1" w:rsidRPr="00DB32C1" w:rsidRDefault="00DB32C1" w:rsidP="00DB32C1">
            <w:pPr>
              <w:autoSpaceDE w:val="0"/>
              <w:autoSpaceDN w:val="0"/>
              <w:adjustRightInd w:val="0"/>
              <w:spacing w:after="0" w:line="240" w:lineRule="auto"/>
              <w:jc w:val="center"/>
              <w:rPr>
                <w:rFonts w:ascii="Times New Roman" w:hAnsi="Times New Roman" w:cs="Times New Roman"/>
                <w:color w:val="000000"/>
                <w:sz w:val="20"/>
                <w:szCs w:val="20"/>
              </w:rPr>
            </w:pPr>
            <w:r w:rsidRPr="00DB32C1">
              <w:rPr>
                <w:rFonts w:ascii="Times New Roman" w:hAnsi="Times New Roman" w:cs="Times New Roman"/>
                <w:color w:val="000000"/>
                <w:sz w:val="20"/>
                <w:szCs w:val="20"/>
              </w:rPr>
              <w:t>INFR</w:t>
            </w:r>
          </w:p>
        </w:tc>
        <w:tc>
          <w:tcPr>
            <w:tcW w:w="1075"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18.872</w:t>
            </w:r>
          </w:p>
        </w:tc>
        <w:tc>
          <w:tcPr>
            <w:tcW w:w="1080"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12.884</w:t>
            </w:r>
          </w:p>
        </w:tc>
        <w:tc>
          <w:tcPr>
            <w:tcW w:w="1172"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72.835</w:t>
            </w:r>
          </w:p>
        </w:tc>
        <w:tc>
          <w:tcPr>
            <w:tcW w:w="990"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5.402</w:t>
            </w:r>
          </w:p>
        </w:tc>
        <w:tc>
          <w:tcPr>
            <w:tcW w:w="1087"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16.678</w:t>
            </w:r>
          </w:p>
        </w:tc>
        <w:tc>
          <w:tcPr>
            <w:tcW w:w="1080"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1.860</w:t>
            </w:r>
          </w:p>
        </w:tc>
        <w:tc>
          <w:tcPr>
            <w:tcW w:w="990"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5.317</w:t>
            </w:r>
          </w:p>
        </w:tc>
        <w:tc>
          <w:tcPr>
            <w:tcW w:w="1523"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32.832***</w:t>
            </w:r>
          </w:p>
        </w:tc>
        <w:tc>
          <w:tcPr>
            <w:tcW w:w="1260" w:type="dxa"/>
          </w:tcPr>
          <w:p w:rsidR="00DB32C1" w:rsidRPr="00DB32C1" w:rsidRDefault="00DB32C1" w:rsidP="00DB32C1">
            <w:pPr>
              <w:spacing w:after="0" w:line="240" w:lineRule="auto"/>
              <w:jc w:val="center"/>
              <w:rPr>
                <w:rFonts w:ascii="Times New Roman" w:hAnsi="Times New Roman" w:cs="Times New Roman"/>
                <w:sz w:val="20"/>
                <w:szCs w:val="20"/>
              </w:rPr>
            </w:pPr>
            <w:r w:rsidRPr="00DB32C1">
              <w:rPr>
                <w:rFonts w:ascii="Times New Roman" w:hAnsi="Times New Roman" w:cs="Times New Roman"/>
                <w:color w:val="000000"/>
                <w:sz w:val="20"/>
                <w:szCs w:val="20"/>
              </w:rPr>
              <w:t>41</w:t>
            </w:r>
          </w:p>
        </w:tc>
      </w:tr>
      <w:tr w:rsidR="00DB32C1" w:rsidRPr="00DB32C1" w:rsidTr="00DB32C1">
        <w:trPr>
          <w:jc w:val="center"/>
        </w:trPr>
        <w:tc>
          <w:tcPr>
            <w:tcW w:w="1438" w:type="dxa"/>
            <w:vAlign w:val="bottom"/>
          </w:tcPr>
          <w:p w:rsidR="00DB32C1" w:rsidRPr="00DB32C1" w:rsidRDefault="00DB32C1" w:rsidP="00DB32C1">
            <w:pPr>
              <w:autoSpaceDE w:val="0"/>
              <w:autoSpaceDN w:val="0"/>
              <w:adjustRightInd w:val="0"/>
              <w:spacing w:after="0" w:line="240" w:lineRule="auto"/>
              <w:jc w:val="center"/>
              <w:rPr>
                <w:rFonts w:ascii="Times New Roman" w:hAnsi="Times New Roman" w:cs="Times New Roman"/>
                <w:color w:val="000000"/>
                <w:sz w:val="20"/>
                <w:szCs w:val="20"/>
              </w:rPr>
            </w:pPr>
            <w:r w:rsidRPr="00DB32C1">
              <w:rPr>
                <w:rFonts w:ascii="Times New Roman" w:hAnsi="Times New Roman" w:cs="Times New Roman"/>
                <w:color w:val="000000"/>
                <w:sz w:val="20"/>
                <w:szCs w:val="20"/>
              </w:rPr>
              <w:t>OPEN</w:t>
            </w:r>
          </w:p>
        </w:tc>
        <w:tc>
          <w:tcPr>
            <w:tcW w:w="1075" w:type="dxa"/>
            <w:vAlign w:val="center"/>
          </w:tcPr>
          <w:p w:rsidR="00DB32C1" w:rsidRPr="00DB32C1" w:rsidRDefault="00DB32C1" w:rsidP="00DB32C1">
            <w:pPr>
              <w:spacing w:after="0" w:line="240" w:lineRule="auto"/>
              <w:jc w:val="center"/>
              <w:rPr>
                <w:rFonts w:ascii="Times New Roman" w:eastAsia="Times New Roman" w:hAnsi="Times New Roman" w:cs="Times New Roman"/>
                <w:b/>
                <w:color w:val="000000"/>
                <w:sz w:val="20"/>
                <w:szCs w:val="20"/>
              </w:rPr>
            </w:pPr>
            <w:r w:rsidRPr="00DB32C1">
              <w:rPr>
                <w:rFonts w:ascii="Times New Roman" w:hAnsi="Times New Roman" w:cs="Times New Roman"/>
                <w:color w:val="000000"/>
                <w:sz w:val="20"/>
                <w:szCs w:val="20"/>
              </w:rPr>
              <w:t>32.024</w:t>
            </w:r>
          </w:p>
        </w:tc>
        <w:tc>
          <w:tcPr>
            <w:tcW w:w="1080"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33.719</w:t>
            </w:r>
          </w:p>
        </w:tc>
        <w:tc>
          <w:tcPr>
            <w:tcW w:w="1172"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 53.277</w:t>
            </w:r>
          </w:p>
        </w:tc>
        <w:tc>
          <w:tcPr>
            <w:tcW w:w="990"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9.135</w:t>
            </w:r>
          </w:p>
        </w:tc>
        <w:tc>
          <w:tcPr>
            <w:tcW w:w="1087"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12.155</w:t>
            </w:r>
          </w:p>
        </w:tc>
        <w:tc>
          <w:tcPr>
            <w:tcW w:w="1080"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-0.308</w:t>
            </w:r>
          </w:p>
        </w:tc>
        <w:tc>
          <w:tcPr>
            <w:tcW w:w="990"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2.286</w:t>
            </w:r>
          </w:p>
        </w:tc>
        <w:tc>
          <w:tcPr>
            <w:tcW w:w="1523"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1.520</w:t>
            </w:r>
          </w:p>
        </w:tc>
        <w:tc>
          <w:tcPr>
            <w:tcW w:w="1260" w:type="dxa"/>
          </w:tcPr>
          <w:p w:rsidR="00DB32C1" w:rsidRPr="00DB32C1" w:rsidRDefault="00DB32C1" w:rsidP="00DB32C1">
            <w:pPr>
              <w:spacing w:after="0" w:line="240" w:lineRule="auto"/>
              <w:jc w:val="center"/>
              <w:rPr>
                <w:rFonts w:ascii="Times New Roman" w:hAnsi="Times New Roman" w:cs="Times New Roman"/>
                <w:sz w:val="20"/>
                <w:szCs w:val="20"/>
              </w:rPr>
            </w:pPr>
            <w:r w:rsidRPr="00DB32C1">
              <w:rPr>
                <w:rFonts w:ascii="Times New Roman" w:hAnsi="Times New Roman" w:cs="Times New Roman"/>
                <w:color w:val="000000"/>
                <w:sz w:val="20"/>
                <w:szCs w:val="20"/>
              </w:rPr>
              <w:t>41</w:t>
            </w:r>
          </w:p>
        </w:tc>
      </w:tr>
      <w:tr w:rsidR="00DB32C1" w:rsidRPr="00DB32C1" w:rsidTr="00DB32C1">
        <w:trPr>
          <w:jc w:val="center"/>
        </w:trPr>
        <w:tc>
          <w:tcPr>
            <w:tcW w:w="1438" w:type="dxa"/>
            <w:vAlign w:val="bottom"/>
          </w:tcPr>
          <w:p w:rsidR="00DB32C1" w:rsidRPr="00DB32C1" w:rsidRDefault="00DB32C1" w:rsidP="00DB32C1">
            <w:pPr>
              <w:autoSpaceDE w:val="0"/>
              <w:autoSpaceDN w:val="0"/>
              <w:adjustRightInd w:val="0"/>
              <w:spacing w:after="0" w:line="240" w:lineRule="auto"/>
              <w:jc w:val="center"/>
              <w:rPr>
                <w:rFonts w:ascii="Times New Roman" w:hAnsi="Times New Roman" w:cs="Times New Roman"/>
                <w:color w:val="000000"/>
                <w:sz w:val="20"/>
                <w:szCs w:val="20"/>
              </w:rPr>
            </w:pPr>
            <w:r w:rsidRPr="00DB32C1">
              <w:rPr>
                <w:rFonts w:ascii="Times New Roman" w:hAnsi="Times New Roman" w:cs="Times New Roman"/>
                <w:color w:val="000000"/>
                <w:sz w:val="20"/>
                <w:szCs w:val="20"/>
              </w:rPr>
              <w:t>RGDP</w:t>
            </w:r>
          </w:p>
        </w:tc>
        <w:tc>
          <w:tcPr>
            <w:tcW w:w="1075"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37710.4</w:t>
            </w:r>
          </w:p>
        </w:tc>
        <w:tc>
          <w:tcPr>
            <w:tcW w:w="1080"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26658.6</w:t>
            </w:r>
          </w:p>
        </w:tc>
        <w:tc>
          <w:tcPr>
            <w:tcW w:w="1172"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72393.6</w:t>
            </w:r>
          </w:p>
        </w:tc>
        <w:tc>
          <w:tcPr>
            <w:tcW w:w="990"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 16048.3</w:t>
            </w:r>
          </w:p>
        </w:tc>
        <w:tc>
          <w:tcPr>
            <w:tcW w:w="1087"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20309.8</w:t>
            </w:r>
          </w:p>
        </w:tc>
        <w:tc>
          <w:tcPr>
            <w:tcW w:w="1080"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0.575</w:t>
            </w:r>
          </w:p>
        </w:tc>
        <w:tc>
          <w:tcPr>
            <w:tcW w:w="990"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1.704</w:t>
            </w:r>
          </w:p>
        </w:tc>
        <w:tc>
          <w:tcPr>
            <w:tcW w:w="1523" w:type="dxa"/>
            <w:vAlign w:val="center"/>
          </w:tcPr>
          <w:p w:rsidR="00DB32C1" w:rsidRPr="00DB32C1" w:rsidRDefault="00DB32C1" w:rsidP="00DB32C1">
            <w:pPr>
              <w:spacing w:after="0" w:line="240" w:lineRule="auto"/>
              <w:jc w:val="center"/>
              <w:rPr>
                <w:rFonts w:ascii="Times New Roman" w:eastAsia="Times New Roman" w:hAnsi="Times New Roman" w:cs="Times New Roman"/>
                <w:color w:val="000000"/>
                <w:sz w:val="20"/>
                <w:szCs w:val="20"/>
              </w:rPr>
            </w:pPr>
            <w:r w:rsidRPr="00DB32C1">
              <w:rPr>
                <w:rFonts w:ascii="Times New Roman" w:hAnsi="Times New Roman" w:cs="Times New Roman"/>
                <w:color w:val="000000"/>
                <w:sz w:val="20"/>
                <w:szCs w:val="20"/>
              </w:rPr>
              <w:t>5.128*</w:t>
            </w:r>
          </w:p>
        </w:tc>
        <w:tc>
          <w:tcPr>
            <w:tcW w:w="1260" w:type="dxa"/>
          </w:tcPr>
          <w:p w:rsidR="00DB32C1" w:rsidRPr="00DB32C1" w:rsidRDefault="00DB32C1" w:rsidP="00DB32C1">
            <w:pPr>
              <w:spacing w:after="0" w:line="240" w:lineRule="auto"/>
              <w:jc w:val="center"/>
              <w:rPr>
                <w:rFonts w:ascii="Times New Roman" w:hAnsi="Times New Roman" w:cs="Times New Roman"/>
                <w:sz w:val="20"/>
                <w:szCs w:val="20"/>
              </w:rPr>
            </w:pPr>
            <w:r w:rsidRPr="00DB32C1">
              <w:rPr>
                <w:rFonts w:ascii="Times New Roman" w:hAnsi="Times New Roman" w:cs="Times New Roman"/>
                <w:color w:val="000000"/>
                <w:sz w:val="20"/>
                <w:szCs w:val="20"/>
              </w:rPr>
              <w:t>41</w:t>
            </w:r>
          </w:p>
        </w:tc>
      </w:tr>
    </w:tbl>
    <w:p w:rsidR="00DB32C1" w:rsidRPr="00F2002E" w:rsidRDefault="00DB32C1" w:rsidP="00DB32C1">
      <w:pPr>
        <w:spacing w:after="0" w:line="240" w:lineRule="auto"/>
        <w:jc w:val="both"/>
        <w:rPr>
          <w:rFonts w:ascii="Times New Roman" w:hAnsi="Times New Roman"/>
        </w:rPr>
      </w:pPr>
      <w:r w:rsidRPr="00F2002E">
        <w:rPr>
          <w:rFonts w:ascii="Times New Roman" w:hAnsi="Times New Roman"/>
        </w:rPr>
        <w:t>Note: *** implies significant at 1%, while ** implies significant at 5% and * significant at 10%.</w:t>
      </w:r>
    </w:p>
    <w:p w:rsidR="005E5940" w:rsidRPr="00131684" w:rsidRDefault="00DB32C1" w:rsidP="00131684">
      <w:pPr>
        <w:spacing w:after="0"/>
        <w:rPr>
          <w:rFonts w:ascii="Times New Roman" w:hAnsi="Times New Roman"/>
          <w:iCs/>
        </w:rPr>
      </w:pPr>
      <w:r w:rsidRPr="00DB1D04">
        <w:rPr>
          <w:rFonts w:ascii="Times New Roman" w:hAnsi="Times New Roman"/>
          <w:i/>
          <w:iCs/>
        </w:rPr>
        <w:t>So</w:t>
      </w:r>
      <w:r w:rsidR="00DB1D04" w:rsidRPr="00DB1D04">
        <w:rPr>
          <w:rFonts w:ascii="Times New Roman" w:hAnsi="Times New Roman"/>
          <w:i/>
          <w:iCs/>
        </w:rPr>
        <w:t>urce</w:t>
      </w:r>
      <w:r w:rsidR="00DB1D04">
        <w:rPr>
          <w:rFonts w:ascii="Times New Roman" w:hAnsi="Times New Roman"/>
          <w:iCs/>
        </w:rPr>
        <w:t>: Author’s Computation, 2023</w:t>
      </w:r>
      <w:r w:rsidRPr="00F2002E">
        <w:rPr>
          <w:rFonts w:ascii="Times New Roman" w:hAnsi="Times New Roman"/>
          <w:iCs/>
        </w:rPr>
        <w:t>.</w:t>
      </w:r>
    </w:p>
    <w:p w:rsidR="00131684" w:rsidRPr="003D14A5" w:rsidRDefault="003D14A5" w:rsidP="00131684">
      <w:pPr>
        <w:pStyle w:val="H2"/>
        <w:spacing w:before="240"/>
        <w:rPr>
          <w:sz w:val="24"/>
          <w:szCs w:val="24"/>
        </w:rPr>
      </w:pPr>
      <w:bookmarkStart w:id="27" w:name="_Toc97822145"/>
      <w:bookmarkStart w:id="28" w:name="_Toc115647124"/>
      <w:r w:rsidRPr="003D14A5">
        <w:rPr>
          <w:sz w:val="24"/>
          <w:szCs w:val="24"/>
        </w:rPr>
        <w:t>4.2</w:t>
      </w:r>
      <w:r w:rsidRPr="003D14A5">
        <w:rPr>
          <w:sz w:val="24"/>
          <w:szCs w:val="24"/>
        </w:rPr>
        <w:tab/>
      </w:r>
      <w:r w:rsidR="00131684" w:rsidRPr="003D14A5">
        <w:rPr>
          <w:sz w:val="24"/>
          <w:szCs w:val="24"/>
        </w:rPr>
        <w:t>Stationarity Test</w:t>
      </w:r>
      <w:bookmarkEnd w:id="27"/>
      <w:bookmarkEnd w:id="28"/>
    </w:p>
    <w:p w:rsidR="00131684" w:rsidRPr="00131684" w:rsidRDefault="00131684" w:rsidP="00131684">
      <w:pPr>
        <w:autoSpaceDE w:val="0"/>
        <w:autoSpaceDN w:val="0"/>
        <w:adjustRightInd w:val="0"/>
        <w:spacing w:before="240" w:after="0"/>
        <w:jc w:val="both"/>
        <w:rPr>
          <w:rFonts w:ascii="Times New Roman" w:hAnsi="Times New Roman" w:cs="Times New Roman"/>
          <w:sz w:val="24"/>
          <w:szCs w:val="24"/>
        </w:rPr>
      </w:pPr>
      <w:bookmarkStart w:id="29" w:name="_Toc97822359"/>
      <w:r w:rsidRPr="00131684">
        <w:rPr>
          <w:rFonts w:ascii="Times New Roman" w:hAnsi="Times New Roman" w:cs="Times New Roman"/>
          <w:color w:val="000000"/>
          <w:sz w:val="24"/>
          <w:szCs w:val="24"/>
        </w:rPr>
        <w:t xml:space="preserve">The variables and estimation techniques were subjected to series of diagnostic tests to ensure that the results obtained are not misleading. For unit root test, </w:t>
      </w:r>
      <w:r w:rsidRPr="00131684">
        <w:rPr>
          <w:rFonts w:ascii="Times New Roman" w:hAnsi="Times New Roman" w:cs="Times New Roman"/>
          <w:noProof/>
          <w:sz w:val="24"/>
          <w:szCs w:val="24"/>
        </w:rPr>
        <w:t xml:space="preserve">three conventional unit root tests were considered: The Augmented Dickey Fuller (ADF), the Philips Perron (PP) and </w:t>
      </w:r>
      <w:r w:rsidRPr="00131684">
        <w:rPr>
          <w:rFonts w:ascii="Times New Roman" w:hAnsi="Times New Roman" w:cs="Times New Roman"/>
          <w:sz w:val="24"/>
          <w:szCs w:val="24"/>
        </w:rPr>
        <w:t>Kwiatkowski-Phillips-Schmidt-Shin (KPSS)</w:t>
      </w:r>
      <w:r w:rsidRPr="00131684">
        <w:rPr>
          <w:rFonts w:ascii="Times New Roman" w:hAnsi="Times New Roman" w:cs="Times New Roman"/>
          <w:noProof/>
          <w:sz w:val="24"/>
          <w:szCs w:val="24"/>
        </w:rPr>
        <w:t xml:space="preserve"> </w:t>
      </w:r>
      <w:r w:rsidRPr="00131684">
        <w:rPr>
          <w:rFonts w:ascii="Times New Roman" w:hAnsi="Times New Roman" w:cs="Times New Roman"/>
          <w:sz w:val="24"/>
          <w:szCs w:val="24"/>
        </w:rPr>
        <w:t>tests.</w:t>
      </w:r>
    </w:p>
    <w:p w:rsidR="00131684" w:rsidRPr="00131684" w:rsidRDefault="00131684" w:rsidP="00131684">
      <w:pPr>
        <w:autoSpaceDE w:val="0"/>
        <w:autoSpaceDN w:val="0"/>
        <w:adjustRightInd w:val="0"/>
        <w:spacing w:before="240" w:after="0"/>
        <w:jc w:val="both"/>
        <w:rPr>
          <w:rFonts w:ascii="Times New Roman" w:hAnsi="Times New Roman" w:cs="Times New Roman"/>
          <w:sz w:val="24"/>
          <w:szCs w:val="24"/>
        </w:rPr>
      </w:pPr>
      <w:r w:rsidRPr="00131684">
        <w:rPr>
          <w:rFonts w:ascii="Times New Roman" w:hAnsi="Times New Roman" w:cs="Times New Roman"/>
          <w:sz w:val="24"/>
          <w:szCs w:val="24"/>
        </w:rPr>
        <w:t>In testing the time series properties of the variables, a univariate regression was performed in which t</w:t>
      </w:r>
      <w:r w:rsidRPr="00131684">
        <w:rPr>
          <w:rFonts w:ascii="Times New Roman" w:hAnsi="Times New Roman" w:cs="Times New Roman"/>
          <w:noProof/>
          <w:sz w:val="24"/>
          <w:szCs w:val="24"/>
        </w:rPr>
        <w:t xml:space="preserve">hese variables were subjected to unit root tests. This is done to determine whether each of these is stationary or not. This study used three of the conventional unit root tests: The Augmented Dickey Fuller (ADF), the Philips Perron (PP) and </w:t>
      </w:r>
      <w:r w:rsidRPr="00131684">
        <w:rPr>
          <w:rFonts w:ascii="Times New Roman" w:hAnsi="Times New Roman" w:cs="Times New Roman"/>
          <w:sz w:val="24"/>
          <w:szCs w:val="24"/>
        </w:rPr>
        <w:t>Kwiatkowski-Phillips-Schmidt-Shin (KPSS)</w:t>
      </w:r>
      <w:r w:rsidRPr="00131684">
        <w:rPr>
          <w:rFonts w:ascii="Times New Roman" w:hAnsi="Times New Roman" w:cs="Times New Roman"/>
          <w:noProof/>
          <w:sz w:val="24"/>
          <w:szCs w:val="24"/>
        </w:rPr>
        <w:t xml:space="preserve"> </w:t>
      </w:r>
      <w:r w:rsidRPr="00131684">
        <w:rPr>
          <w:rFonts w:ascii="Times New Roman" w:hAnsi="Times New Roman" w:cs="Times New Roman"/>
          <w:sz w:val="24"/>
          <w:szCs w:val="24"/>
        </w:rPr>
        <w:t>tests. T</w:t>
      </w:r>
      <w:r w:rsidRPr="00131684">
        <w:rPr>
          <w:rFonts w:ascii="Times New Roman" w:hAnsi="Times New Roman" w:cs="Times New Roman"/>
          <w:noProof/>
          <w:sz w:val="24"/>
          <w:szCs w:val="24"/>
        </w:rPr>
        <w:t xml:space="preserve">he null hypothesis of both constant only and constant and linear trend were considered. The null hypothesis in the ADF and PP test is that there is presence of unit root in the series while that of the KPSS is the there is stationarity. </w:t>
      </w:r>
      <w:r w:rsidRPr="00131684">
        <w:rPr>
          <w:rFonts w:ascii="Times New Roman" w:hAnsi="Times New Roman" w:cs="Times New Roman"/>
          <w:sz w:val="24"/>
          <w:szCs w:val="24"/>
        </w:rPr>
        <w:t>Following the summary results of the unit root tests presented in Table 3, it is clearly shown that the variables considered are a mixture of stationary I(0) and non-stationary I(1) series. Given this situation, there is therefore a need for long-run relationship among the variables in each of the models, which necessitate the use of ARDL.</w:t>
      </w:r>
      <w:bookmarkEnd w:id="29"/>
    </w:p>
    <w:p w:rsidR="00131684" w:rsidRDefault="00131684" w:rsidP="00131684">
      <w:pPr>
        <w:pStyle w:val="T1"/>
      </w:pPr>
      <w:bookmarkStart w:id="30" w:name="_Toc59399898"/>
      <w:bookmarkStart w:id="31" w:name="_Toc59572726"/>
      <w:bookmarkStart w:id="32" w:name="_Toc70614962"/>
      <w:bookmarkStart w:id="33" w:name="_Toc115647336"/>
    </w:p>
    <w:p w:rsidR="00131684" w:rsidRDefault="00131684" w:rsidP="00131684">
      <w:pPr>
        <w:pStyle w:val="T1"/>
      </w:pPr>
    </w:p>
    <w:p w:rsidR="003F372A" w:rsidRDefault="003F372A" w:rsidP="00131684">
      <w:pPr>
        <w:pStyle w:val="T1"/>
      </w:pPr>
    </w:p>
    <w:p w:rsidR="00131684" w:rsidRPr="0005219D" w:rsidRDefault="00131684" w:rsidP="00131684">
      <w:pPr>
        <w:pStyle w:val="T1"/>
      </w:pPr>
      <w:r w:rsidRPr="0005219D">
        <w:lastRenderedPageBreak/>
        <w:t>Table 3: Conventional Unit Root Tests</w:t>
      </w:r>
      <w:bookmarkEnd w:id="30"/>
      <w:bookmarkEnd w:id="31"/>
      <w:bookmarkEnd w:id="32"/>
      <w:bookmarkEnd w:id="33"/>
      <w:r w:rsidRPr="0005219D">
        <w:t xml:space="preserve"> </w:t>
      </w:r>
    </w:p>
    <w:tbl>
      <w:tblPr>
        <w:tblStyle w:val="TableGrid"/>
        <w:tblW w:w="11605" w:type="dxa"/>
        <w:jc w:val="center"/>
        <w:tblLook w:val="04A0" w:firstRow="1" w:lastRow="0" w:firstColumn="1" w:lastColumn="0" w:noHBand="0" w:noVBand="1"/>
      </w:tblPr>
      <w:tblGrid>
        <w:gridCol w:w="1435"/>
        <w:gridCol w:w="1620"/>
        <w:gridCol w:w="1710"/>
        <w:gridCol w:w="1800"/>
        <w:gridCol w:w="1710"/>
        <w:gridCol w:w="1800"/>
        <w:gridCol w:w="1530"/>
      </w:tblGrid>
      <w:tr w:rsidR="00131684" w:rsidRPr="00131684" w:rsidTr="00FE4F82">
        <w:trPr>
          <w:jc w:val="center"/>
        </w:trPr>
        <w:tc>
          <w:tcPr>
            <w:tcW w:w="11605" w:type="dxa"/>
            <w:gridSpan w:val="7"/>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sz w:val="20"/>
                <w:szCs w:val="20"/>
              </w:rPr>
              <w:t>At Levels</w:t>
            </w:r>
          </w:p>
        </w:tc>
      </w:tr>
      <w:tr w:rsidR="00131684" w:rsidRPr="00131684" w:rsidTr="00FE4F82">
        <w:trPr>
          <w:jc w:val="center"/>
        </w:trPr>
        <w:tc>
          <w:tcPr>
            <w:tcW w:w="1435" w:type="dxa"/>
          </w:tcPr>
          <w:p w:rsidR="00131684" w:rsidRPr="00131684" w:rsidRDefault="00131684" w:rsidP="00131684">
            <w:pPr>
              <w:spacing w:after="0" w:line="240" w:lineRule="auto"/>
              <w:rPr>
                <w:rFonts w:ascii="Times New Roman" w:hAnsi="Times New Roman" w:cs="Times New Roman"/>
                <w:sz w:val="20"/>
                <w:szCs w:val="20"/>
              </w:rPr>
            </w:pPr>
          </w:p>
        </w:tc>
        <w:tc>
          <w:tcPr>
            <w:tcW w:w="3330" w:type="dxa"/>
            <w:gridSpan w:val="2"/>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sz w:val="20"/>
                <w:szCs w:val="20"/>
              </w:rPr>
              <w:t>ADF</w:t>
            </w:r>
          </w:p>
        </w:tc>
        <w:tc>
          <w:tcPr>
            <w:tcW w:w="3510" w:type="dxa"/>
            <w:gridSpan w:val="2"/>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sz w:val="20"/>
                <w:szCs w:val="20"/>
              </w:rPr>
              <w:t>PP</w:t>
            </w:r>
          </w:p>
        </w:tc>
        <w:tc>
          <w:tcPr>
            <w:tcW w:w="3330" w:type="dxa"/>
            <w:gridSpan w:val="2"/>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sz w:val="20"/>
                <w:szCs w:val="20"/>
              </w:rPr>
              <w:t>KPSS</w:t>
            </w:r>
          </w:p>
        </w:tc>
      </w:tr>
      <w:tr w:rsidR="00131684" w:rsidRPr="00131684" w:rsidTr="00FE4F82">
        <w:trPr>
          <w:jc w:val="center"/>
        </w:trPr>
        <w:tc>
          <w:tcPr>
            <w:tcW w:w="1435" w:type="dxa"/>
          </w:tcPr>
          <w:p w:rsidR="00131684" w:rsidRPr="00131684" w:rsidRDefault="00131684" w:rsidP="00131684">
            <w:pPr>
              <w:spacing w:after="0" w:line="240" w:lineRule="auto"/>
              <w:jc w:val="center"/>
              <w:rPr>
                <w:rFonts w:ascii="Times New Roman" w:hAnsi="Times New Roman" w:cs="Times New Roman"/>
                <w:sz w:val="20"/>
                <w:szCs w:val="20"/>
              </w:rPr>
            </w:pPr>
          </w:p>
        </w:tc>
        <w:tc>
          <w:tcPr>
            <w:tcW w:w="162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sz w:val="20"/>
                <w:szCs w:val="20"/>
              </w:rPr>
              <w:t>Intercept only</w:t>
            </w:r>
          </w:p>
        </w:tc>
        <w:tc>
          <w:tcPr>
            <w:tcW w:w="171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sz w:val="20"/>
                <w:szCs w:val="20"/>
              </w:rPr>
              <w:t>Intercept and trend</w:t>
            </w:r>
          </w:p>
        </w:tc>
        <w:tc>
          <w:tcPr>
            <w:tcW w:w="180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sz w:val="20"/>
                <w:szCs w:val="20"/>
              </w:rPr>
              <w:t>Intercept only</w:t>
            </w:r>
          </w:p>
        </w:tc>
        <w:tc>
          <w:tcPr>
            <w:tcW w:w="171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sz w:val="20"/>
                <w:szCs w:val="20"/>
              </w:rPr>
              <w:t>Intercept and trend</w:t>
            </w:r>
          </w:p>
        </w:tc>
        <w:tc>
          <w:tcPr>
            <w:tcW w:w="180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sz w:val="20"/>
                <w:szCs w:val="20"/>
              </w:rPr>
              <w:t>Intercept only</w:t>
            </w:r>
          </w:p>
        </w:tc>
        <w:tc>
          <w:tcPr>
            <w:tcW w:w="153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sz w:val="20"/>
                <w:szCs w:val="20"/>
              </w:rPr>
              <w:t>Intercept and trend</w:t>
            </w:r>
          </w:p>
        </w:tc>
      </w:tr>
      <w:tr w:rsidR="00131684" w:rsidRPr="00131684" w:rsidTr="00FE4F82">
        <w:trPr>
          <w:jc w:val="center"/>
        </w:trPr>
        <w:tc>
          <w:tcPr>
            <w:tcW w:w="1435"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TNOE</w:t>
            </w:r>
          </w:p>
        </w:tc>
        <w:tc>
          <w:tcPr>
            <w:tcW w:w="162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0.439178</w:t>
            </w:r>
          </w:p>
        </w:tc>
        <w:tc>
          <w:tcPr>
            <w:tcW w:w="171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-1.255934</w:t>
            </w:r>
          </w:p>
        </w:tc>
        <w:tc>
          <w:tcPr>
            <w:tcW w:w="180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-0.041196</w:t>
            </w:r>
          </w:p>
        </w:tc>
        <w:tc>
          <w:tcPr>
            <w:tcW w:w="171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-2.670672</w:t>
            </w:r>
          </w:p>
        </w:tc>
        <w:tc>
          <w:tcPr>
            <w:tcW w:w="180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 0.639410**</w:t>
            </w:r>
          </w:p>
        </w:tc>
        <w:tc>
          <w:tcPr>
            <w:tcW w:w="153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 0.214386**</w:t>
            </w:r>
          </w:p>
        </w:tc>
      </w:tr>
      <w:tr w:rsidR="00131684" w:rsidRPr="00131684" w:rsidTr="00FE4F82">
        <w:trPr>
          <w:jc w:val="center"/>
        </w:trPr>
        <w:tc>
          <w:tcPr>
            <w:tcW w:w="1435"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TNOE/GDP</w:t>
            </w:r>
          </w:p>
        </w:tc>
        <w:tc>
          <w:tcPr>
            <w:tcW w:w="162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0.200273</w:t>
            </w:r>
          </w:p>
        </w:tc>
        <w:tc>
          <w:tcPr>
            <w:tcW w:w="171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-1.639971</w:t>
            </w:r>
          </w:p>
        </w:tc>
        <w:tc>
          <w:tcPr>
            <w:tcW w:w="180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-1.013162</w:t>
            </w:r>
          </w:p>
        </w:tc>
        <w:tc>
          <w:tcPr>
            <w:tcW w:w="171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-3.008677</w:t>
            </w:r>
          </w:p>
        </w:tc>
        <w:tc>
          <w:tcPr>
            <w:tcW w:w="180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0.679783**</w:t>
            </w:r>
          </w:p>
        </w:tc>
        <w:tc>
          <w:tcPr>
            <w:tcW w:w="153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 0.208056**</w:t>
            </w:r>
          </w:p>
        </w:tc>
      </w:tr>
      <w:tr w:rsidR="00131684" w:rsidRPr="00131684" w:rsidTr="00FE4F82">
        <w:trPr>
          <w:jc w:val="center"/>
        </w:trPr>
        <w:tc>
          <w:tcPr>
            <w:tcW w:w="1435"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GR_TNOE</w:t>
            </w:r>
          </w:p>
        </w:tc>
        <w:tc>
          <w:tcPr>
            <w:tcW w:w="162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-7.303101***</w:t>
            </w:r>
          </w:p>
        </w:tc>
        <w:tc>
          <w:tcPr>
            <w:tcW w:w="171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-7.498571***</w:t>
            </w:r>
          </w:p>
        </w:tc>
        <w:tc>
          <w:tcPr>
            <w:tcW w:w="180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-7.737419***</w:t>
            </w:r>
          </w:p>
        </w:tc>
        <w:tc>
          <w:tcPr>
            <w:tcW w:w="171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-15.46028***</w:t>
            </w:r>
          </w:p>
        </w:tc>
        <w:tc>
          <w:tcPr>
            <w:tcW w:w="180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0.303523</w:t>
            </w:r>
          </w:p>
        </w:tc>
        <w:tc>
          <w:tcPr>
            <w:tcW w:w="153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0.244549***</w:t>
            </w:r>
          </w:p>
        </w:tc>
      </w:tr>
      <w:tr w:rsidR="00131684" w:rsidRPr="00131684" w:rsidTr="00FE4F82">
        <w:trPr>
          <w:jc w:val="center"/>
        </w:trPr>
        <w:tc>
          <w:tcPr>
            <w:tcW w:w="1435"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TNOE/TE</w:t>
            </w:r>
          </w:p>
        </w:tc>
        <w:tc>
          <w:tcPr>
            <w:tcW w:w="162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-1.355187</w:t>
            </w:r>
          </w:p>
        </w:tc>
        <w:tc>
          <w:tcPr>
            <w:tcW w:w="171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-2.142935</w:t>
            </w:r>
          </w:p>
        </w:tc>
        <w:tc>
          <w:tcPr>
            <w:tcW w:w="180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-1.121773</w:t>
            </w:r>
          </w:p>
        </w:tc>
        <w:tc>
          <w:tcPr>
            <w:tcW w:w="171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-2.142935</w:t>
            </w:r>
          </w:p>
        </w:tc>
        <w:tc>
          <w:tcPr>
            <w:tcW w:w="180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0.491501**</w:t>
            </w:r>
          </w:p>
        </w:tc>
        <w:tc>
          <w:tcPr>
            <w:tcW w:w="153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 0.205237**</w:t>
            </w:r>
          </w:p>
        </w:tc>
      </w:tr>
      <w:tr w:rsidR="00131684" w:rsidRPr="00131684" w:rsidTr="00FE4F82">
        <w:trPr>
          <w:jc w:val="center"/>
        </w:trPr>
        <w:tc>
          <w:tcPr>
            <w:tcW w:w="1435"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TEX</w:t>
            </w:r>
          </w:p>
        </w:tc>
        <w:tc>
          <w:tcPr>
            <w:tcW w:w="162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-0.278998</w:t>
            </w:r>
          </w:p>
        </w:tc>
        <w:tc>
          <w:tcPr>
            <w:tcW w:w="171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-2.686605</w:t>
            </w:r>
          </w:p>
        </w:tc>
        <w:tc>
          <w:tcPr>
            <w:tcW w:w="180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 0.482339</w:t>
            </w:r>
          </w:p>
        </w:tc>
        <w:tc>
          <w:tcPr>
            <w:tcW w:w="171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-2.460010</w:t>
            </w:r>
          </w:p>
        </w:tc>
        <w:tc>
          <w:tcPr>
            <w:tcW w:w="180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 0.723067**</w:t>
            </w:r>
          </w:p>
        </w:tc>
        <w:tc>
          <w:tcPr>
            <w:tcW w:w="153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 0.189546**</w:t>
            </w:r>
          </w:p>
        </w:tc>
      </w:tr>
      <w:tr w:rsidR="00131684" w:rsidRPr="00131684" w:rsidTr="00FE4F82">
        <w:trPr>
          <w:jc w:val="center"/>
        </w:trPr>
        <w:tc>
          <w:tcPr>
            <w:tcW w:w="1435"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CBEC</w:t>
            </w:r>
          </w:p>
        </w:tc>
        <w:tc>
          <w:tcPr>
            <w:tcW w:w="162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1.062224</w:t>
            </w:r>
          </w:p>
        </w:tc>
        <w:tc>
          <w:tcPr>
            <w:tcW w:w="171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-0.427510</w:t>
            </w:r>
          </w:p>
        </w:tc>
        <w:tc>
          <w:tcPr>
            <w:tcW w:w="180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 2.328154</w:t>
            </w:r>
          </w:p>
        </w:tc>
        <w:tc>
          <w:tcPr>
            <w:tcW w:w="171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 0.183572</w:t>
            </w:r>
          </w:p>
        </w:tc>
        <w:tc>
          <w:tcPr>
            <w:tcW w:w="180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 0.524078**</w:t>
            </w:r>
          </w:p>
        </w:tc>
        <w:tc>
          <w:tcPr>
            <w:tcW w:w="153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 0.177550**</w:t>
            </w:r>
          </w:p>
        </w:tc>
      </w:tr>
      <w:tr w:rsidR="00131684" w:rsidRPr="00131684" w:rsidTr="00FE4F82">
        <w:trPr>
          <w:jc w:val="center"/>
        </w:trPr>
        <w:tc>
          <w:tcPr>
            <w:tcW w:w="1435"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GR_CBEC</w:t>
            </w:r>
          </w:p>
        </w:tc>
        <w:tc>
          <w:tcPr>
            <w:tcW w:w="162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-6.470382***</w:t>
            </w:r>
          </w:p>
        </w:tc>
        <w:tc>
          <w:tcPr>
            <w:tcW w:w="171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-6.508660***</w:t>
            </w:r>
          </w:p>
        </w:tc>
        <w:tc>
          <w:tcPr>
            <w:tcW w:w="180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-6.472185***</w:t>
            </w:r>
          </w:p>
        </w:tc>
        <w:tc>
          <w:tcPr>
            <w:tcW w:w="171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-6.525796***</w:t>
            </w:r>
          </w:p>
        </w:tc>
        <w:tc>
          <w:tcPr>
            <w:tcW w:w="180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 0.145721</w:t>
            </w:r>
          </w:p>
        </w:tc>
        <w:tc>
          <w:tcPr>
            <w:tcW w:w="153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 0.058141</w:t>
            </w:r>
          </w:p>
        </w:tc>
      </w:tr>
      <w:tr w:rsidR="00131684" w:rsidRPr="00131684" w:rsidTr="00FE4F82">
        <w:trPr>
          <w:jc w:val="center"/>
        </w:trPr>
        <w:tc>
          <w:tcPr>
            <w:tcW w:w="1435"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EXCR</w:t>
            </w:r>
          </w:p>
        </w:tc>
        <w:tc>
          <w:tcPr>
            <w:tcW w:w="162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1.747836</w:t>
            </w:r>
          </w:p>
        </w:tc>
        <w:tc>
          <w:tcPr>
            <w:tcW w:w="171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 0.068481</w:t>
            </w:r>
          </w:p>
        </w:tc>
        <w:tc>
          <w:tcPr>
            <w:tcW w:w="180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 2.328774</w:t>
            </w:r>
          </w:p>
        </w:tc>
        <w:tc>
          <w:tcPr>
            <w:tcW w:w="171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-0.134295</w:t>
            </w:r>
          </w:p>
        </w:tc>
        <w:tc>
          <w:tcPr>
            <w:tcW w:w="180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 0.740269***</w:t>
            </w:r>
          </w:p>
        </w:tc>
        <w:tc>
          <w:tcPr>
            <w:tcW w:w="153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 0.166736**</w:t>
            </w:r>
          </w:p>
        </w:tc>
      </w:tr>
      <w:tr w:rsidR="00131684" w:rsidRPr="00131684" w:rsidTr="00FE4F82">
        <w:trPr>
          <w:jc w:val="center"/>
        </w:trPr>
        <w:tc>
          <w:tcPr>
            <w:tcW w:w="1435"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MPR</w:t>
            </w:r>
          </w:p>
        </w:tc>
        <w:tc>
          <w:tcPr>
            <w:tcW w:w="162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-3.334522**</w:t>
            </w:r>
          </w:p>
        </w:tc>
        <w:tc>
          <w:tcPr>
            <w:tcW w:w="171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-3.338263*</w:t>
            </w:r>
          </w:p>
        </w:tc>
        <w:tc>
          <w:tcPr>
            <w:tcW w:w="180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-3.295308**</w:t>
            </w:r>
          </w:p>
        </w:tc>
        <w:tc>
          <w:tcPr>
            <w:tcW w:w="171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-3.256928*</w:t>
            </w:r>
          </w:p>
        </w:tc>
        <w:tc>
          <w:tcPr>
            <w:tcW w:w="180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0.133517</w:t>
            </w:r>
          </w:p>
        </w:tc>
        <w:tc>
          <w:tcPr>
            <w:tcW w:w="153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 0.126279*</w:t>
            </w:r>
          </w:p>
        </w:tc>
      </w:tr>
      <w:tr w:rsidR="00131684" w:rsidRPr="00131684" w:rsidTr="00FE4F82">
        <w:trPr>
          <w:jc w:val="center"/>
        </w:trPr>
        <w:tc>
          <w:tcPr>
            <w:tcW w:w="1435" w:type="dxa"/>
            <w:vAlign w:val="bottom"/>
          </w:tcPr>
          <w:p w:rsidR="00131684" w:rsidRPr="00131684" w:rsidRDefault="00131684" w:rsidP="00131684">
            <w:pPr>
              <w:autoSpaceDE w:val="0"/>
              <w:autoSpaceDN w:val="0"/>
              <w:adjustRightInd w:val="0"/>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INFR</w:t>
            </w:r>
          </w:p>
        </w:tc>
        <w:tc>
          <w:tcPr>
            <w:tcW w:w="162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-3.579801**</w:t>
            </w:r>
          </w:p>
        </w:tc>
        <w:tc>
          <w:tcPr>
            <w:tcW w:w="171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-4.083553**</w:t>
            </w:r>
          </w:p>
        </w:tc>
        <w:tc>
          <w:tcPr>
            <w:tcW w:w="180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-2.846080*</w:t>
            </w:r>
          </w:p>
        </w:tc>
        <w:tc>
          <w:tcPr>
            <w:tcW w:w="1710" w:type="dxa"/>
          </w:tcPr>
          <w:p w:rsidR="00131684" w:rsidRPr="00131684" w:rsidRDefault="00131684" w:rsidP="00131684">
            <w:pPr>
              <w:spacing w:after="0" w:line="240" w:lineRule="auto"/>
              <w:jc w:val="center"/>
              <w:rPr>
                <w:rFonts w:ascii="Times New Roman" w:hAnsi="Times New Roman" w:cs="Times New Roman"/>
                <w:b/>
                <w:sz w:val="20"/>
                <w:szCs w:val="20"/>
              </w:rPr>
            </w:pPr>
            <w:r w:rsidRPr="00131684">
              <w:rPr>
                <w:rFonts w:ascii="Times New Roman" w:hAnsi="Times New Roman" w:cs="Times New Roman"/>
                <w:color w:val="000000"/>
                <w:sz w:val="20"/>
                <w:szCs w:val="20"/>
              </w:rPr>
              <w:t>-2.925601</w:t>
            </w:r>
          </w:p>
        </w:tc>
        <w:tc>
          <w:tcPr>
            <w:tcW w:w="180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0.315763</w:t>
            </w:r>
          </w:p>
        </w:tc>
        <w:tc>
          <w:tcPr>
            <w:tcW w:w="153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0.095991</w:t>
            </w:r>
          </w:p>
        </w:tc>
      </w:tr>
      <w:tr w:rsidR="00131684" w:rsidRPr="00131684" w:rsidTr="00FE4F82">
        <w:trPr>
          <w:jc w:val="center"/>
        </w:trPr>
        <w:tc>
          <w:tcPr>
            <w:tcW w:w="1435" w:type="dxa"/>
            <w:vAlign w:val="bottom"/>
          </w:tcPr>
          <w:p w:rsidR="00131684" w:rsidRPr="00131684" w:rsidRDefault="00131684" w:rsidP="00131684">
            <w:pPr>
              <w:autoSpaceDE w:val="0"/>
              <w:autoSpaceDN w:val="0"/>
              <w:adjustRightInd w:val="0"/>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OPEN</w:t>
            </w:r>
          </w:p>
        </w:tc>
        <w:tc>
          <w:tcPr>
            <w:tcW w:w="162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-2.376165</w:t>
            </w:r>
          </w:p>
        </w:tc>
        <w:tc>
          <w:tcPr>
            <w:tcW w:w="171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-2.295313</w:t>
            </w:r>
          </w:p>
        </w:tc>
        <w:tc>
          <w:tcPr>
            <w:tcW w:w="180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-2.286118</w:t>
            </w:r>
          </w:p>
        </w:tc>
        <w:tc>
          <w:tcPr>
            <w:tcW w:w="171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-2.295313</w:t>
            </w:r>
          </w:p>
        </w:tc>
        <w:tc>
          <w:tcPr>
            <w:tcW w:w="180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 0.306963</w:t>
            </w:r>
          </w:p>
        </w:tc>
        <w:tc>
          <w:tcPr>
            <w:tcW w:w="153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0.206774**</w:t>
            </w:r>
          </w:p>
        </w:tc>
      </w:tr>
      <w:tr w:rsidR="00131684" w:rsidRPr="00131684" w:rsidTr="00FE4F82">
        <w:trPr>
          <w:jc w:val="center"/>
        </w:trPr>
        <w:tc>
          <w:tcPr>
            <w:tcW w:w="1435" w:type="dxa"/>
            <w:vAlign w:val="bottom"/>
          </w:tcPr>
          <w:p w:rsidR="00131684" w:rsidRPr="00131684" w:rsidRDefault="00131684" w:rsidP="00131684">
            <w:pPr>
              <w:autoSpaceDE w:val="0"/>
              <w:autoSpaceDN w:val="0"/>
              <w:adjustRightInd w:val="0"/>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RGDP</w:t>
            </w:r>
          </w:p>
        </w:tc>
        <w:tc>
          <w:tcPr>
            <w:tcW w:w="162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0.569521</w:t>
            </w:r>
          </w:p>
        </w:tc>
        <w:tc>
          <w:tcPr>
            <w:tcW w:w="171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-1.975137</w:t>
            </w:r>
          </w:p>
        </w:tc>
        <w:tc>
          <w:tcPr>
            <w:tcW w:w="180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 1.050947</w:t>
            </w:r>
          </w:p>
        </w:tc>
        <w:tc>
          <w:tcPr>
            <w:tcW w:w="171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-2.258277</w:t>
            </w:r>
          </w:p>
        </w:tc>
        <w:tc>
          <w:tcPr>
            <w:tcW w:w="180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 0.725938**</w:t>
            </w:r>
          </w:p>
        </w:tc>
        <w:tc>
          <w:tcPr>
            <w:tcW w:w="1530"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0.187363**</w:t>
            </w:r>
          </w:p>
        </w:tc>
      </w:tr>
      <w:tr w:rsidR="00131684" w:rsidRPr="00131684" w:rsidTr="00FE4F82">
        <w:trPr>
          <w:jc w:val="center"/>
        </w:trPr>
        <w:tc>
          <w:tcPr>
            <w:tcW w:w="11605" w:type="dxa"/>
            <w:gridSpan w:val="7"/>
            <w:vAlign w:val="bottom"/>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At First Difference</w:t>
            </w:r>
          </w:p>
        </w:tc>
      </w:tr>
      <w:tr w:rsidR="00131684" w:rsidRPr="00131684" w:rsidTr="00FE4F82">
        <w:trPr>
          <w:jc w:val="center"/>
        </w:trPr>
        <w:tc>
          <w:tcPr>
            <w:tcW w:w="1435"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TNOE</w:t>
            </w:r>
          </w:p>
        </w:tc>
        <w:tc>
          <w:tcPr>
            <w:tcW w:w="162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-10.78887***</w:t>
            </w:r>
          </w:p>
        </w:tc>
        <w:tc>
          <w:tcPr>
            <w:tcW w:w="171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-11.11312***</w:t>
            </w:r>
          </w:p>
        </w:tc>
        <w:tc>
          <w:tcPr>
            <w:tcW w:w="180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-11.70864***</w:t>
            </w:r>
          </w:p>
        </w:tc>
        <w:tc>
          <w:tcPr>
            <w:tcW w:w="171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-22.17646***</w:t>
            </w:r>
          </w:p>
        </w:tc>
        <w:tc>
          <w:tcPr>
            <w:tcW w:w="180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 0.403205*</w:t>
            </w:r>
          </w:p>
        </w:tc>
        <w:tc>
          <w:tcPr>
            <w:tcW w:w="153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 0.275693***</w:t>
            </w:r>
          </w:p>
        </w:tc>
      </w:tr>
      <w:tr w:rsidR="00131684" w:rsidRPr="00131684" w:rsidTr="00FE4F82">
        <w:trPr>
          <w:jc w:val="center"/>
        </w:trPr>
        <w:tc>
          <w:tcPr>
            <w:tcW w:w="1435"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TNOE/GDP</w:t>
            </w:r>
          </w:p>
        </w:tc>
        <w:tc>
          <w:tcPr>
            <w:tcW w:w="162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-10.51466***</w:t>
            </w:r>
          </w:p>
        </w:tc>
        <w:tc>
          <w:tcPr>
            <w:tcW w:w="171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-10.72246***</w:t>
            </w:r>
          </w:p>
        </w:tc>
        <w:tc>
          <w:tcPr>
            <w:tcW w:w="180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-11.94146***</w:t>
            </w:r>
          </w:p>
        </w:tc>
        <w:tc>
          <w:tcPr>
            <w:tcW w:w="171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-21.34809***</w:t>
            </w:r>
          </w:p>
        </w:tc>
        <w:tc>
          <w:tcPr>
            <w:tcW w:w="180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 0.382314*</w:t>
            </w:r>
          </w:p>
        </w:tc>
        <w:tc>
          <w:tcPr>
            <w:tcW w:w="153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 0.219818***</w:t>
            </w:r>
          </w:p>
        </w:tc>
      </w:tr>
      <w:tr w:rsidR="00131684" w:rsidRPr="00131684" w:rsidTr="00FE4F82">
        <w:trPr>
          <w:jc w:val="center"/>
        </w:trPr>
        <w:tc>
          <w:tcPr>
            <w:tcW w:w="1435"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GR_TNOE</w:t>
            </w:r>
          </w:p>
        </w:tc>
        <w:tc>
          <w:tcPr>
            <w:tcW w:w="162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-12.32454***</w:t>
            </w:r>
          </w:p>
        </w:tc>
        <w:tc>
          <w:tcPr>
            <w:tcW w:w="171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-12.19976***</w:t>
            </w:r>
          </w:p>
        </w:tc>
        <w:tc>
          <w:tcPr>
            <w:tcW w:w="180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-36.44267***</w:t>
            </w:r>
          </w:p>
        </w:tc>
        <w:tc>
          <w:tcPr>
            <w:tcW w:w="171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-47.13603***</w:t>
            </w:r>
          </w:p>
        </w:tc>
        <w:tc>
          <w:tcPr>
            <w:tcW w:w="180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0.407024*</w:t>
            </w:r>
          </w:p>
        </w:tc>
        <w:tc>
          <w:tcPr>
            <w:tcW w:w="153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 0.246974***</w:t>
            </w:r>
          </w:p>
        </w:tc>
      </w:tr>
      <w:tr w:rsidR="00131684" w:rsidRPr="00131684" w:rsidTr="00FE4F82">
        <w:trPr>
          <w:jc w:val="center"/>
        </w:trPr>
        <w:tc>
          <w:tcPr>
            <w:tcW w:w="1435"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TNOE/TE</w:t>
            </w:r>
          </w:p>
        </w:tc>
        <w:tc>
          <w:tcPr>
            <w:tcW w:w="162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-8.053054***</w:t>
            </w:r>
          </w:p>
        </w:tc>
        <w:tc>
          <w:tcPr>
            <w:tcW w:w="171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-8.099939***</w:t>
            </w:r>
          </w:p>
        </w:tc>
        <w:tc>
          <w:tcPr>
            <w:tcW w:w="180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-8.652442***</w:t>
            </w:r>
          </w:p>
        </w:tc>
        <w:tc>
          <w:tcPr>
            <w:tcW w:w="171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-10.45492***</w:t>
            </w:r>
          </w:p>
        </w:tc>
        <w:tc>
          <w:tcPr>
            <w:tcW w:w="180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0.267970</w:t>
            </w:r>
          </w:p>
        </w:tc>
        <w:tc>
          <w:tcPr>
            <w:tcW w:w="153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 0.248442***</w:t>
            </w:r>
          </w:p>
        </w:tc>
      </w:tr>
      <w:tr w:rsidR="00131684" w:rsidRPr="00131684" w:rsidTr="00FE4F82">
        <w:trPr>
          <w:jc w:val="center"/>
        </w:trPr>
        <w:tc>
          <w:tcPr>
            <w:tcW w:w="1435"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TEX</w:t>
            </w:r>
          </w:p>
        </w:tc>
        <w:tc>
          <w:tcPr>
            <w:tcW w:w="162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-5.657721***</w:t>
            </w:r>
          </w:p>
        </w:tc>
        <w:tc>
          <w:tcPr>
            <w:tcW w:w="171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-5.960917***</w:t>
            </w:r>
          </w:p>
        </w:tc>
        <w:tc>
          <w:tcPr>
            <w:tcW w:w="180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-6.862898***</w:t>
            </w:r>
          </w:p>
        </w:tc>
        <w:tc>
          <w:tcPr>
            <w:tcW w:w="171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-11.65477***</w:t>
            </w:r>
          </w:p>
        </w:tc>
        <w:tc>
          <w:tcPr>
            <w:tcW w:w="180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0.500000**</w:t>
            </w:r>
          </w:p>
        </w:tc>
        <w:tc>
          <w:tcPr>
            <w:tcW w:w="153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 0.396548***</w:t>
            </w:r>
          </w:p>
        </w:tc>
      </w:tr>
      <w:tr w:rsidR="00131684" w:rsidRPr="00131684" w:rsidTr="00FE4F82">
        <w:trPr>
          <w:jc w:val="center"/>
        </w:trPr>
        <w:tc>
          <w:tcPr>
            <w:tcW w:w="1435"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CBEC</w:t>
            </w:r>
          </w:p>
        </w:tc>
        <w:tc>
          <w:tcPr>
            <w:tcW w:w="162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-6.420244***</w:t>
            </w:r>
          </w:p>
        </w:tc>
        <w:tc>
          <w:tcPr>
            <w:tcW w:w="171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-7.131135***</w:t>
            </w:r>
          </w:p>
        </w:tc>
        <w:tc>
          <w:tcPr>
            <w:tcW w:w="180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-6.420244***</w:t>
            </w:r>
          </w:p>
        </w:tc>
        <w:tc>
          <w:tcPr>
            <w:tcW w:w="171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-7.552387***</w:t>
            </w:r>
          </w:p>
        </w:tc>
        <w:tc>
          <w:tcPr>
            <w:tcW w:w="180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 0.446064*</w:t>
            </w:r>
          </w:p>
        </w:tc>
        <w:tc>
          <w:tcPr>
            <w:tcW w:w="153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0.142839*</w:t>
            </w:r>
          </w:p>
        </w:tc>
      </w:tr>
      <w:tr w:rsidR="00131684" w:rsidRPr="00131684" w:rsidTr="00FE4F82">
        <w:trPr>
          <w:jc w:val="center"/>
        </w:trPr>
        <w:tc>
          <w:tcPr>
            <w:tcW w:w="1435"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GR_CBEC</w:t>
            </w:r>
          </w:p>
        </w:tc>
        <w:tc>
          <w:tcPr>
            <w:tcW w:w="162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-7.229115***</w:t>
            </w:r>
          </w:p>
        </w:tc>
        <w:tc>
          <w:tcPr>
            <w:tcW w:w="171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-7.131954***</w:t>
            </w:r>
          </w:p>
        </w:tc>
        <w:tc>
          <w:tcPr>
            <w:tcW w:w="180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-38.73200***</w:t>
            </w:r>
          </w:p>
        </w:tc>
        <w:tc>
          <w:tcPr>
            <w:tcW w:w="171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-39.30071***</w:t>
            </w:r>
          </w:p>
        </w:tc>
        <w:tc>
          <w:tcPr>
            <w:tcW w:w="180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 0.500000**</w:t>
            </w:r>
          </w:p>
        </w:tc>
        <w:tc>
          <w:tcPr>
            <w:tcW w:w="1530" w:type="dxa"/>
          </w:tcPr>
          <w:p w:rsidR="00131684" w:rsidRPr="00131684" w:rsidRDefault="00131684" w:rsidP="00131684">
            <w:pPr>
              <w:spacing w:after="0" w:line="240" w:lineRule="auto"/>
              <w:jc w:val="center"/>
              <w:rPr>
                <w:rFonts w:ascii="Times New Roman" w:hAnsi="Times New Roman" w:cs="Times New Roman"/>
                <w:b/>
                <w:color w:val="000000"/>
                <w:sz w:val="20"/>
                <w:szCs w:val="20"/>
              </w:rPr>
            </w:pPr>
            <w:r w:rsidRPr="00131684">
              <w:rPr>
                <w:rFonts w:ascii="Times New Roman" w:hAnsi="Times New Roman" w:cs="Times New Roman"/>
                <w:color w:val="000000"/>
                <w:sz w:val="20"/>
                <w:szCs w:val="20"/>
              </w:rPr>
              <w:t> 0.500000***</w:t>
            </w:r>
          </w:p>
        </w:tc>
      </w:tr>
      <w:tr w:rsidR="00131684" w:rsidRPr="00131684" w:rsidTr="00FE4F82">
        <w:trPr>
          <w:jc w:val="center"/>
        </w:trPr>
        <w:tc>
          <w:tcPr>
            <w:tcW w:w="1435"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EXCR</w:t>
            </w:r>
          </w:p>
        </w:tc>
        <w:tc>
          <w:tcPr>
            <w:tcW w:w="162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-4.074830***</w:t>
            </w:r>
          </w:p>
        </w:tc>
        <w:tc>
          <w:tcPr>
            <w:tcW w:w="171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-4.776618***</w:t>
            </w:r>
          </w:p>
        </w:tc>
        <w:tc>
          <w:tcPr>
            <w:tcW w:w="180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-4.074830**</w:t>
            </w:r>
          </w:p>
        </w:tc>
        <w:tc>
          <w:tcPr>
            <w:tcW w:w="171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-4.776618**</w:t>
            </w:r>
          </w:p>
        </w:tc>
        <w:tc>
          <w:tcPr>
            <w:tcW w:w="180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0.528225**</w:t>
            </w:r>
          </w:p>
        </w:tc>
        <w:tc>
          <w:tcPr>
            <w:tcW w:w="153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 0.098457</w:t>
            </w:r>
          </w:p>
        </w:tc>
      </w:tr>
      <w:tr w:rsidR="00131684" w:rsidRPr="00131684" w:rsidTr="00FE4F82">
        <w:trPr>
          <w:jc w:val="center"/>
        </w:trPr>
        <w:tc>
          <w:tcPr>
            <w:tcW w:w="1435" w:type="dxa"/>
          </w:tcPr>
          <w:p w:rsidR="00131684" w:rsidRPr="00131684" w:rsidRDefault="00131684" w:rsidP="00131684">
            <w:pPr>
              <w:spacing w:after="0" w:line="240" w:lineRule="auto"/>
              <w:jc w:val="center"/>
              <w:rPr>
                <w:rFonts w:ascii="Times New Roman" w:hAnsi="Times New Roman" w:cs="Times New Roman"/>
                <w:sz w:val="20"/>
                <w:szCs w:val="20"/>
              </w:rPr>
            </w:pPr>
            <w:r w:rsidRPr="00131684">
              <w:rPr>
                <w:rFonts w:ascii="Times New Roman" w:hAnsi="Times New Roman" w:cs="Times New Roman"/>
                <w:color w:val="000000"/>
                <w:sz w:val="20"/>
                <w:szCs w:val="20"/>
              </w:rPr>
              <w:t>MPR</w:t>
            </w:r>
          </w:p>
        </w:tc>
        <w:tc>
          <w:tcPr>
            <w:tcW w:w="162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-8.742246***</w:t>
            </w:r>
          </w:p>
        </w:tc>
        <w:tc>
          <w:tcPr>
            <w:tcW w:w="171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-8.747581***</w:t>
            </w:r>
          </w:p>
        </w:tc>
        <w:tc>
          <w:tcPr>
            <w:tcW w:w="180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-9.122003***</w:t>
            </w:r>
          </w:p>
        </w:tc>
        <w:tc>
          <w:tcPr>
            <w:tcW w:w="171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-8.876662***</w:t>
            </w:r>
          </w:p>
        </w:tc>
        <w:tc>
          <w:tcPr>
            <w:tcW w:w="180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0.080391</w:t>
            </w:r>
          </w:p>
        </w:tc>
        <w:tc>
          <w:tcPr>
            <w:tcW w:w="153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0.056577</w:t>
            </w:r>
          </w:p>
        </w:tc>
      </w:tr>
      <w:tr w:rsidR="00131684" w:rsidRPr="00131684" w:rsidTr="00FE4F82">
        <w:trPr>
          <w:jc w:val="center"/>
        </w:trPr>
        <w:tc>
          <w:tcPr>
            <w:tcW w:w="1435" w:type="dxa"/>
            <w:vAlign w:val="bottom"/>
          </w:tcPr>
          <w:p w:rsidR="00131684" w:rsidRPr="00131684" w:rsidRDefault="00131684" w:rsidP="00131684">
            <w:pPr>
              <w:autoSpaceDE w:val="0"/>
              <w:autoSpaceDN w:val="0"/>
              <w:adjustRightInd w:val="0"/>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INFR</w:t>
            </w:r>
          </w:p>
        </w:tc>
        <w:tc>
          <w:tcPr>
            <w:tcW w:w="162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-6.402805***</w:t>
            </w:r>
          </w:p>
        </w:tc>
        <w:tc>
          <w:tcPr>
            <w:tcW w:w="171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-6.304983***</w:t>
            </w:r>
          </w:p>
        </w:tc>
        <w:tc>
          <w:tcPr>
            <w:tcW w:w="180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-10.23580***</w:t>
            </w:r>
          </w:p>
        </w:tc>
        <w:tc>
          <w:tcPr>
            <w:tcW w:w="171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-10.86544***</w:t>
            </w:r>
          </w:p>
        </w:tc>
        <w:tc>
          <w:tcPr>
            <w:tcW w:w="180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0.500000**</w:t>
            </w:r>
          </w:p>
        </w:tc>
        <w:tc>
          <w:tcPr>
            <w:tcW w:w="153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 0.500000***</w:t>
            </w:r>
          </w:p>
        </w:tc>
      </w:tr>
      <w:tr w:rsidR="00131684" w:rsidRPr="00131684" w:rsidTr="00FE4F82">
        <w:trPr>
          <w:jc w:val="center"/>
        </w:trPr>
        <w:tc>
          <w:tcPr>
            <w:tcW w:w="1435" w:type="dxa"/>
            <w:vAlign w:val="bottom"/>
          </w:tcPr>
          <w:p w:rsidR="00131684" w:rsidRPr="00131684" w:rsidRDefault="00131684" w:rsidP="00131684">
            <w:pPr>
              <w:autoSpaceDE w:val="0"/>
              <w:autoSpaceDN w:val="0"/>
              <w:adjustRightInd w:val="0"/>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OPEN</w:t>
            </w:r>
          </w:p>
        </w:tc>
        <w:tc>
          <w:tcPr>
            <w:tcW w:w="162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-7.697821***</w:t>
            </w:r>
          </w:p>
        </w:tc>
        <w:tc>
          <w:tcPr>
            <w:tcW w:w="171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-7.750086***</w:t>
            </w:r>
          </w:p>
        </w:tc>
        <w:tc>
          <w:tcPr>
            <w:tcW w:w="180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-8.394086***</w:t>
            </w:r>
          </w:p>
        </w:tc>
        <w:tc>
          <w:tcPr>
            <w:tcW w:w="171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-11.31731***</w:t>
            </w:r>
          </w:p>
        </w:tc>
        <w:tc>
          <w:tcPr>
            <w:tcW w:w="180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0.215298</w:t>
            </w:r>
          </w:p>
        </w:tc>
        <w:tc>
          <w:tcPr>
            <w:tcW w:w="153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 0.158656**</w:t>
            </w:r>
          </w:p>
        </w:tc>
      </w:tr>
      <w:tr w:rsidR="00131684" w:rsidRPr="00131684" w:rsidTr="00FE4F82">
        <w:trPr>
          <w:jc w:val="center"/>
        </w:trPr>
        <w:tc>
          <w:tcPr>
            <w:tcW w:w="1435" w:type="dxa"/>
            <w:vAlign w:val="bottom"/>
          </w:tcPr>
          <w:p w:rsidR="00131684" w:rsidRPr="00131684" w:rsidRDefault="00131684" w:rsidP="00131684">
            <w:pPr>
              <w:autoSpaceDE w:val="0"/>
              <w:autoSpaceDN w:val="0"/>
              <w:adjustRightInd w:val="0"/>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RGDP</w:t>
            </w:r>
          </w:p>
        </w:tc>
        <w:tc>
          <w:tcPr>
            <w:tcW w:w="162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-3.288313**</w:t>
            </w:r>
          </w:p>
        </w:tc>
        <w:tc>
          <w:tcPr>
            <w:tcW w:w="171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-3.538102**</w:t>
            </w:r>
          </w:p>
        </w:tc>
        <w:tc>
          <w:tcPr>
            <w:tcW w:w="180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-3.152798**</w:t>
            </w:r>
          </w:p>
        </w:tc>
        <w:tc>
          <w:tcPr>
            <w:tcW w:w="171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-3.455718*</w:t>
            </w:r>
          </w:p>
        </w:tc>
        <w:tc>
          <w:tcPr>
            <w:tcW w:w="180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 0.429014*</w:t>
            </w:r>
          </w:p>
        </w:tc>
        <w:tc>
          <w:tcPr>
            <w:tcW w:w="1530" w:type="dxa"/>
          </w:tcPr>
          <w:p w:rsidR="00131684" w:rsidRPr="00131684" w:rsidRDefault="00131684" w:rsidP="00131684">
            <w:pPr>
              <w:spacing w:after="0" w:line="240" w:lineRule="auto"/>
              <w:jc w:val="center"/>
              <w:rPr>
                <w:rFonts w:ascii="Times New Roman" w:hAnsi="Times New Roman" w:cs="Times New Roman"/>
                <w:color w:val="000000"/>
                <w:sz w:val="20"/>
                <w:szCs w:val="20"/>
              </w:rPr>
            </w:pPr>
            <w:r w:rsidRPr="00131684">
              <w:rPr>
                <w:rFonts w:ascii="Times New Roman" w:hAnsi="Times New Roman" w:cs="Times New Roman"/>
                <w:color w:val="000000"/>
                <w:sz w:val="20"/>
                <w:szCs w:val="20"/>
              </w:rPr>
              <w:t>0.136771*</w:t>
            </w:r>
          </w:p>
        </w:tc>
      </w:tr>
    </w:tbl>
    <w:p w:rsidR="00131684" w:rsidRPr="00951B3A" w:rsidRDefault="00131684" w:rsidP="00131684">
      <w:pPr>
        <w:spacing w:after="0"/>
        <w:jc w:val="both"/>
        <w:rPr>
          <w:rFonts w:ascii="Times New Roman" w:hAnsi="Times New Roman" w:cs="Times New Roman"/>
          <w:color w:val="000000"/>
          <w:sz w:val="20"/>
          <w:szCs w:val="20"/>
        </w:rPr>
      </w:pPr>
      <w:r w:rsidRPr="00670E88">
        <w:rPr>
          <w:rFonts w:ascii="Times New Roman" w:hAnsi="Times New Roman" w:cs="Times New Roman"/>
          <w:sz w:val="20"/>
          <w:szCs w:val="20"/>
        </w:rPr>
        <w:t xml:space="preserve">Source: computed. Note: the optimal lag selection for </w:t>
      </w:r>
      <w:r>
        <w:rPr>
          <w:rFonts w:ascii="Times New Roman" w:hAnsi="Times New Roman" w:cs="Times New Roman"/>
          <w:sz w:val="20"/>
          <w:szCs w:val="20"/>
        </w:rPr>
        <w:t>ADF</w:t>
      </w:r>
      <w:r w:rsidRPr="00670E88">
        <w:rPr>
          <w:rFonts w:ascii="Times New Roman" w:hAnsi="Times New Roman" w:cs="Times New Roman"/>
          <w:sz w:val="20"/>
          <w:szCs w:val="20"/>
        </w:rPr>
        <w:t xml:space="preserve"> is based Schwarz Information criterion with maximum lag at 1, while the spectral estimation of </w:t>
      </w:r>
      <w:r>
        <w:rPr>
          <w:rFonts w:ascii="Times New Roman" w:hAnsi="Times New Roman" w:cs="Times New Roman"/>
          <w:sz w:val="20"/>
          <w:szCs w:val="20"/>
        </w:rPr>
        <w:t>PP and KPSS are</w:t>
      </w:r>
      <w:r w:rsidRPr="00670E88">
        <w:rPr>
          <w:rFonts w:ascii="Times New Roman" w:hAnsi="Times New Roman" w:cs="Times New Roman"/>
          <w:sz w:val="20"/>
          <w:szCs w:val="20"/>
        </w:rPr>
        <w:t xml:space="preserve"> based on </w:t>
      </w:r>
      <w:r w:rsidRPr="00670E88">
        <w:rPr>
          <w:rFonts w:ascii="Times New Roman" w:hAnsi="Times New Roman" w:cs="Times New Roman"/>
          <w:color w:val="000000"/>
          <w:sz w:val="20"/>
          <w:szCs w:val="20"/>
        </w:rPr>
        <w:t>Bartlett kernel default. ***, ** and * indicate significant at 1%, 5% and 10%, respectively.</w:t>
      </w:r>
    </w:p>
    <w:p w:rsidR="00894BCC" w:rsidRPr="0005219D" w:rsidRDefault="00894BCC" w:rsidP="00894BCC">
      <w:pPr>
        <w:pStyle w:val="T1"/>
      </w:pPr>
      <w:bookmarkStart w:id="34" w:name="_Toc115647337"/>
      <w:r w:rsidRPr="0005219D">
        <w:t>Table 4: Summary Results and Decision for Conventional Unit Root Tests at Levels</w:t>
      </w:r>
      <w:bookmarkEnd w:id="34"/>
      <w:r w:rsidRPr="0005219D">
        <w:t xml:space="preserve"> </w:t>
      </w:r>
    </w:p>
    <w:tbl>
      <w:tblPr>
        <w:tblStyle w:val="TableGrid"/>
        <w:tblW w:w="0" w:type="auto"/>
        <w:jc w:val="center"/>
        <w:tblLook w:val="04A0" w:firstRow="1" w:lastRow="0" w:firstColumn="1" w:lastColumn="0" w:noHBand="0" w:noVBand="1"/>
      </w:tblPr>
      <w:tblGrid>
        <w:gridCol w:w="1919"/>
        <w:gridCol w:w="1858"/>
        <w:gridCol w:w="1748"/>
        <w:gridCol w:w="1880"/>
        <w:gridCol w:w="1945"/>
      </w:tblGrid>
      <w:tr w:rsidR="00894BCC" w:rsidRPr="00894BCC" w:rsidTr="00FE4F82">
        <w:trPr>
          <w:jc w:val="center"/>
        </w:trPr>
        <w:tc>
          <w:tcPr>
            <w:tcW w:w="1919"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Method</w:t>
            </w:r>
          </w:p>
        </w:tc>
        <w:tc>
          <w:tcPr>
            <w:tcW w:w="1858"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ADF</w:t>
            </w:r>
          </w:p>
        </w:tc>
        <w:tc>
          <w:tcPr>
            <w:tcW w:w="1748"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PP</w:t>
            </w:r>
          </w:p>
        </w:tc>
        <w:tc>
          <w:tcPr>
            <w:tcW w:w="1880"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KPSS</w:t>
            </w:r>
          </w:p>
        </w:tc>
        <w:tc>
          <w:tcPr>
            <w:tcW w:w="1945"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Decision</w:t>
            </w:r>
          </w:p>
        </w:tc>
      </w:tr>
      <w:tr w:rsidR="00894BCC" w:rsidRPr="00894BCC" w:rsidTr="00FE4F82">
        <w:trPr>
          <w:jc w:val="center"/>
        </w:trPr>
        <w:tc>
          <w:tcPr>
            <w:tcW w:w="1919"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color w:val="000000"/>
                <w:sz w:val="20"/>
                <w:szCs w:val="20"/>
              </w:rPr>
              <w:t>TNOE</w:t>
            </w:r>
          </w:p>
        </w:tc>
        <w:tc>
          <w:tcPr>
            <w:tcW w:w="1858"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I(1)</w:t>
            </w:r>
          </w:p>
        </w:tc>
        <w:tc>
          <w:tcPr>
            <w:tcW w:w="1748"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I(1)</w:t>
            </w:r>
          </w:p>
        </w:tc>
        <w:tc>
          <w:tcPr>
            <w:tcW w:w="1880"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I(1)</w:t>
            </w:r>
          </w:p>
        </w:tc>
        <w:tc>
          <w:tcPr>
            <w:tcW w:w="1945"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I(1)</w:t>
            </w:r>
          </w:p>
        </w:tc>
      </w:tr>
      <w:tr w:rsidR="00894BCC" w:rsidRPr="00894BCC" w:rsidTr="00FE4F82">
        <w:trPr>
          <w:jc w:val="center"/>
        </w:trPr>
        <w:tc>
          <w:tcPr>
            <w:tcW w:w="1919" w:type="dxa"/>
          </w:tcPr>
          <w:p w:rsidR="00894BCC" w:rsidRPr="00894BCC" w:rsidRDefault="00894BCC" w:rsidP="00FE4F82">
            <w:pPr>
              <w:spacing w:after="0" w:line="240" w:lineRule="auto"/>
              <w:jc w:val="center"/>
              <w:rPr>
                <w:rFonts w:ascii="Times New Roman" w:hAnsi="Times New Roman" w:cs="Times New Roman"/>
                <w:color w:val="000000"/>
                <w:sz w:val="20"/>
                <w:szCs w:val="20"/>
              </w:rPr>
            </w:pPr>
            <w:r w:rsidRPr="00894BCC">
              <w:rPr>
                <w:rFonts w:ascii="Times New Roman" w:hAnsi="Times New Roman" w:cs="Times New Roman"/>
                <w:color w:val="000000"/>
                <w:sz w:val="20"/>
                <w:szCs w:val="20"/>
              </w:rPr>
              <w:t>TNOE/GDP</w:t>
            </w:r>
          </w:p>
        </w:tc>
        <w:tc>
          <w:tcPr>
            <w:tcW w:w="1858"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I(1)</w:t>
            </w:r>
          </w:p>
        </w:tc>
        <w:tc>
          <w:tcPr>
            <w:tcW w:w="1748"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I(1)</w:t>
            </w:r>
          </w:p>
        </w:tc>
        <w:tc>
          <w:tcPr>
            <w:tcW w:w="1880"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I(1)</w:t>
            </w:r>
          </w:p>
        </w:tc>
        <w:tc>
          <w:tcPr>
            <w:tcW w:w="1945"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I(1)</w:t>
            </w:r>
          </w:p>
        </w:tc>
      </w:tr>
      <w:tr w:rsidR="00894BCC" w:rsidRPr="00894BCC" w:rsidTr="00FE4F82">
        <w:trPr>
          <w:jc w:val="center"/>
        </w:trPr>
        <w:tc>
          <w:tcPr>
            <w:tcW w:w="1919"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color w:val="000000"/>
                <w:sz w:val="20"/>
                <w:szCs w:val="20"/>
              </w:rPr>
              <w:t>GR_TNOE</w:t>
            </w:r>
          </w:p>
        </w:tc>
        <w:tc>
          <w:tcPr>
            <w:tcW w:w="1858"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I(0)</w:t>
            </w:r>
          </w:p>
        </w:tc>
        <w:tc>
          <w:tcPr>
            <w:tcW w:w="1748"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I(0)</w:t>
            </w:r>
          </w:p>
        </w:tc>
        <w:tc>
          <w:tcPr>
            <w:tcW w:w="1880"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I(0)</w:t>
            </w:r>
          </w:p>
        </w:tc>
        <w:tc>
          <w:tcPr>
            <w:tcW w:w="1945"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I(0)</w:t>
            </w:r>
          </w:p>
        </w:tc>
      </w:tr>
      <w:tr w:rsidR="00894BCC" w:rsidRPr="00894BCC" w:rsidTr="00FE4F82">
        <w:trPr>
          <w:jc w:val="center"/>
        </w:trPr>
        <w:tc>
          <w:tcPr>
            <w:tcW w:w="1919" w:type="dxa"/>
          </w:tcPr>
          <w:p w:rsidR="00894BCC" w:rsidRPr="00894BCC" w:rsidRDefault="00894BCC" w:rsidP="00FE4F82">
            <w:pPr>
              <w:spacing w:after="0" w:line="240" w:lineRule="auto"/>
              <w:jc w:val="center"/>
              <w:rPr>
                <w:rFonts w:ascii="Times New Roman" w:hAnsi="Times New Roman" w:cs="Times New Roman"/>
                <w:color w:val="000000"/>
                <w:sz w:val="20"/>
                <w:szCs w:val="20"/>
              </w:rPr>
            </w:pPr>
            <w:r w:rsidRPr="00894BCC">
              <w:rPr>
                <w:rFonts w:ascii="Times New Roman" w:hAnsi="Times New Roman" w:cs="Times New Roman"/>
                <w:color w:val="000000"/>
                <w:sz w:val="20"/>
                <w:szCs w:val="20"/>
              </w:rPr>
              <w:t>TNOE/TE</w:t>
            </w:r>
          </w:p>
        </w:tc>
        <w:tc>
          <w:tcPr>
            <w:tcW w:w="1858"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I(1)</w:t>
            </w:r>
          </w:p>
        </w:tc>
        <w:tc>
          <w:tcPr>
            <w:tcW w:w="1748"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I(1)</w:t>
            </w:r>
          </w:p>
        </w:tc>
        <w:tc>
          <w:tcPr>
            <w:tcW w:w="1880"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I(1)</w:t>
            </w:r>
          </w:p>
        </w:tc>
        <w:tc>
          <w:tcPr>
            <w:tcW w:w="1945"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I(1)</w:t>
            </w:r>
          </w:p>
        </w:tc>
      </w:tr>
      <w:tr w:rsidR="00894BCC" w:rsidRPr="00894BCC" w:rsidTr="00FE4F82">
        <w:trPr>
          <w:jc w:val="center"/>
        </w:trPr>
        <w:tc>
          <w:tcPr>
            <w:tcW w:w="1919"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color w:val="000000"/>
                <w:sz w:val="20"/>
                <w:szCs w:val="20"/>
              </w:rPr>
              <w:t>TEX</w:t>
            </w:r>
          </w:p>
        </w:tc>
        <w:tc>
          <w:tcPr>
            <w:tcW w:w="1858"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I(1)</w:t>
            </w:r>
          </w:p>
        </w:tc>
        <w:tc>
          <w:tcPr>
            <w:tcW w:w="1748"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I(1)</w:t>
            </w:r>
          </w:p>
        </w:tc>
        <w:tc>
          <w:tcPr>
            <w:tcW w:w="1880"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I(1)</w:t>
            </w:r>
          </w:p>
        </w:tc>
        <w:tc>
          <w:tcPr>
            <w:tcW w:w="1945"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I(1)</w:t>
            </w:r>
          </w:p>
        </w:tc>
      </w:tr>
      <w:tr w:rsidR="00894BCC" w:rsidRPr="00894BCC" w:rsidTr="00FE4F82">
        <w:trPr>
          <w:jc w:val="center"/>
        </w:trPr>
        <w:tc>
          <w:tcPr>
            <w:tcW w:w="1919"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color w:val="000000"/>
                <w:sz w:val="20"/>
                <w:szCs w:val="20"/>
              </w:rPr>
              <w:t>CBEC</w:t>
            </w:r>
          </w:p>
        </w:tc>
        <w:tc>
          <w:tcPr>
            <w:tcW w:w="1858"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I(1)</w:t>
            </w:r>
          </w:p>
        </w:tc>
        <w:tc>
          <w:tcPr>
            <w:tcW w:w="1748"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I(1)</w:t>
            </w:r>
          </w:p>
        </w:tc>
        <w:tc>
          <w:tcPr>
            <w:tcW w:w="1880"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I(1)</w:t>
            </w:r>
          </w:p>
        </w:tc>
        <w:tc>
          <w:tcPr>
            <w:tcW w:w="1945"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I(1)</w:t>
            </w:r>
          </w:p>
        </w:tc>
      </w:tr>
      <w:tr w:rsidR="00894BCC" w:rsidRPr="00894BCC" w:rsidTr="00FE4F82">
        <w:trPr>
          <w:jc w:val="center"/>
        </w:trPr>
        <w:tc>
          <w:tcPr>
            <w:tcW w:w="1919" w:type="dxa"/>
          </w:tcPr>
          <w:p w:rsidR="00894BCC" w:rsidRPr="00894BCC" w:rsidRDefault="00894BCC" w:rsidP="00FE4F82">
            <w:pPr>
              <w:spacing w:after="0" w:line="240" w:lineRule="auto"/>
              <w:jc w:val="center"/>
              <w:rPr>
                <w:rFonts w:ascii="Times New Roman" w:hAnsi="Times New Roman" w:cs="Times New Roman"/>
                <w:color w:val="000000"/>
                <w:sz w:val="20"/>
                <w:szCs w:val="20"/>
              </w:rPr>
            </w:pPr>
            <w:r w:rsidRPr="00894BCC">
              <w:rPr>
                <w:rFonts w:ascii="Times New Roman" w:hAnsi="Times New Roman" w:cs="Times New Roman"/>
                <w:color w:val="000000"/>
                <w:sz w:val="20"/>
                <w:szCs w:val="20"/>
              </w:rPr>
              <w:t>GR_CBEC</w:t>
            </w:r>
          </w:p>
        </w:tc>
        <w:tc>
          <w:tcPr>
            <w:tcW w:w="1858"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I(0)</w:t>
            </w:r>
          </w:p>
        </w:tc>
        <w:tc>
          <w:tcPr>
            <w:tcW w:w="1748"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I(0)</w:t>
            </w:r>
          </w:p>
        </w:tc>
        <w:tc>
          <w:tcPr>
            <w:tcW w:w="1880"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I(0)</w:t>
            </w:r>
          </w:p>
        </w:tc>
        <w:tc>
          <w:tcPr>
            <w:tcW w:w="1945"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I(0)</w:t>
            </w:r>
          </w:p>
        </w:tc>
      </w:tr>
      <w:tr w:rsidR="00894BCC" w:rsidRPr="00894BCC" w:rsidTr="00FE4F82">
        <w:trPr>
          <w:jc w:val="center"/>
        </w:trPr>
        <w:tc>
          <w:tcPr>
            <w:tcW w:w="1919"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color w:val="000000"/>
                <w:sz w:val="20"/>
                <w:szCs w:val="20"/>
              </w:rPr>
              <w:t>EXCR</w:t>
            </w:r>
          </w:p>
        </w:tc>
        <w:tc>
          <w:tcPr>
            <w:tcW w:w="1858"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I(1)</w:t>
            </w:r>
          </w:p>
        </w:tc>
        <w:tc>
          <w:tcPr>
            <w:tcW w:w="1748"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I(1)</w:t>
            </w:r>
          </w:p>
        </w:tc>
        <w:tc>
          <w:tcPr>
            <w:tcW w:w="1880"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I(1)</w:t>
            </w:r>
          </w:p>
        </w:tc>
        <w:tc>
          <w:tcPr>
            <w:tcW w:w="1945"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I(1)</w:t>
            </w:r>
          </w:p>
        </w:tc>
      </w:tr>
      <w:tr w:rsidR="00894BCC" w:rsidRPr="00894BCC" w:rsidTr="00FE4F82">
        <w:trPr>
          <w:jc w:val="center"/>
        </w:trPr>
        <w:tc>
          <w:tcPr>
            <w:tcW w:w="1919"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color w:val="000000"/>
                <w:sz w:val="20"/>
                <w:szCs w:val="20"/>
              </w:rPr>
              <w:t>MPR</w:t>
            </w:r>
          </w:p>
        </w:tc>
        <w:tc>
          <w:tcPr>
            <w:tcW w:w="1858"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I(0)</w:t>
            </w:r>
          </w:p>
        </w:tc>
        <w:tc>
          <w:tcPr>
            <w:tcW w:w="1748"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I(0)</w:t>
            </w:r>
          </w:p>
        </w:tc>
        <w:tc>
          <w:tcPr>
            <w:tcW w:w="1880"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I(0)</w:t>
            </w:r>
          </w:p>
        </w:tc>
        <w:tc>
          <w:tcPr>
            <w:tcW w:w="1945"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I(0)</w:t>
            </w:r>
          </w:p>
        </w:tc>
      </w:tr>
      <w:tr w:rsidR="00894BCC" w:rsidRPr="00894BCC" w:rsidTr="00FE4F82">
        <w:trPr>
          <w:jc w:val="center"/>
        </w:trPr>
        <w:tc>
          <w:tcPr>
            <w:tcW w:w="1919" w:type="dxa"/>
            <w:vAlign w:val="bottom"/>
          </w:tcPr>
          <w:p w:rsidR="00894BCC" w:rsidRPr="00894BCC" w:rsidRDefault="00894BCC" w:rsidP="00FE4F82">
            <w:pPr>
              <w:autoSpaceDE w:val="0"/>
              <w:autoSpaceDN w:val="0"/>
              <w:adjustRightInd w:val="0"/>
              <w:spacing w:after="0" w:line="240" w:lineRule="auto"/>
              <w:jc w:val="center"/>
              <w:rPr>
                <w:rFonts w:ascii="Times New Roman" w:hAnsi="Times New Roman" w:cs="Times New Roman"/>
                <w:color w:val="000000"/>
                <w:sz w:val="20"/>
                <w:szCs w:val="20"/>
              </w:rPr>
            </w:pPr>
            <w:r w:rsidRPr="00894BCC">
              <w:rPr>
                <w:rFonts w:ascii="Times New Roman" w:hAnsi="Times New Roman" w:cs="Times New Roman"/>
                <w:color w:val="000000"/>
                <w:sz w:val="20"/>
                <w:szCs w:val="20"/>
              </w:rPr>
              <w:t>INFR</w:t>
            </w:r>
          </w:p>
        </w:tc>
        <w:tc>
          <w:tcPr>
            <w:tcW w:w="1858"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I(0)</w:t>
            </w:r>
          </w:p>
        </w:tc>
        <w:tc>
          <w:tcPr>
            <w:tcW w:w="1748"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I(0)</w:t>
            </w:r>
          </w:p>
        </w:tc>
        <w:tc>
          <w:tcPr>
            <w:tcW w:w="1880"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I(0)</w:t>
            </w:r>
          </w:p>
        </w:tc>
        <w:tc>
          <w:tcPr>
            <w:tcW w:w="1945"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I(0)</w:t>
            </w:r>
          </w:p>
        </w:tc>
      </w:tr>
      <w:tr w:rsidR="00894BCC" w:rsidRPr="00894BCC" w:rsidTr="00FE4F82">
        <w:trPr>
          <w:jc w:val="center"/>
        </w:trPr>
        <w:tc>
          <w:tcPr>
            <w:tcW w:w="1919" w:type="dxa"/>
            <w:vAlign w:val="bottom"/>
          </w:tcPr>
          <w:p w:rsidR="00894BCC" w:rsidRPr="00894BCC" w:rsidRDefault="00894BCC" w:rsidP="00FE4F82">
            <w:pPr>
              <w:autoSpaceDE w:val="0"/>
              <w:autoSpaceDN w:val="0"/>
              <w:adjustRightInd w:val="0"/>
              <w:spacing w:after="0" w:line="240" w:lineRule="auto"/>
              <w:jc w:val="center"/>
              <w:rPr>
                <w:rFonts w:ascii="Times New Roman" w:hAnsi="Times New Roman" w:cs="Times New Roman"/>
                <w:color w:val="000000"/>
                <w:sz w:val="20"/>
                <w:szCs w:val="20"/>
              </w:rPr>
            </w:pPr>
            <w:r w:rsidRPr="00894BCC">
              <w:rPr>
                <w:rFonts w:ascii="Times New Roman" w:hAnsi="Times New Roman" w:cs="Times New Roman"/>
                <w:color w:val="000000"/>
                <w:sz w:val="20"/>
                <w:szCs w:val="20"/>
              </w:rPr>
              <w:t>OPEN</w:t>
            </w:r>
          </w:p>
        </w:tc>
        <w:tc>
          <w:tcPr>
            <w:tcW w:w="1858"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I(1)</w:t>
            </w:r>
          </w:p>
        </w:tc>
        <w:tc>
          <w:tcPr>
            <w:tcW w:w="1748"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I(1)</w:t>
            </w:r>
          </w:p>
        </w:tc>
        <w:tc>
          <w:tcPr>
            <w:tcW w:w="1880"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I(1)</w:t>
            </w:r>
          </w:p>
        </w:tc>
        <w:tc>
          <w:tcPr>
            <w:tcW w:w="1945"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I(1)</w:t>
            </w:r>
          </w:p>
        </w:tc>
      </w:tr>
      <w:tr w:rsidR="00894BCC" w:rsidRPr="00894BCC" w:rsidTr="00FE4F82">
        <w:trPr>
          <w:jc w:val="center"/>
        </w:trPr>
        <w:tc>
          <w:tcPr>
            <w:tcW w:w="1919" w:type="dxa"/>
            <w:vAlign w:val="bottom"/>
          </w:tcPr>
          <w:p w:rsidR="00894BCC" w:rsidRPr="00894BCC" w:rsidRDefault="00894BCC" w:rsidP="00FE4F82">
            <w:pPr>
              <w:autoSpaceDE w:val="0"/>
              <w:autoSpaceDN w:val="0"/>
              <w:adjustRightInd w:val="0"/>
              <w:spacing w:after="0" w:line="240" w:lineRule="auto"/>
              <w:jc w:val="center"/>
              <w:rPr>
                <w:rFonts w:ascii="Times New Roman" w:hAnsi="Times New Roman" w:cs="Times New Roman"/>
                <w:color w:val="000000"/>
                <w:sz w:val="20"/>
                <w:szCs w:val="20"/>
              </w:rPr>
            </w:pPr>
            <w:r w:rsidRPr="00894BCC">
              <w:rPr>
                <w:rFonts w:ascii="Times New Roman" w:hAnsi="Times New Roman" w:cs="Times New Roman"/>
                <w:color w:val="000000"/>
                <w:sz w:val="20"/>
                <w:szCs w:val="20"/>
              </w:rPr>
              <w:t>RGDP</w:t>
            </w:r>
          </w:p>
        </w:tc>
        <w:tc>
          <w:tcPr>
            <w:tcW w:w="1858"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I(1)</w:t>
            </w:r>
          </w:p>
        </w:tc>
        <w:tc>
          <w:tcPr>
            <w:tcW w:w="1748"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I(1)</w:t>
            </w:r>
          </w:p>
        </w:tc>
        <w:tc>
          <w:tcPr>
            <w:tcW w:w="1880"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I(1)</w:t>
            </w:r>
          </w:p>
        </w:tc>
        <w:tc>
          <w:tcPr>
            <w:tcW w:w="1945" w:type="dxa"/>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I(1)</w:t>
            </w:r>
          </w:p>
        </w:tc>
      </w:tr>
    </w:tbl>
    <w:p w:rsidR="00894BCC" w:rsidRPr="009B3385" w:rsidRDefault="00894BCC" w:rsidP="00894BCC">
      <w:pPr>
        <w:spacing w:after="0"/>
        <w:rPr>
          <w:rFonts w:ascii="Times New Roman" w:hAnsi="Times New Roman" w:cs="Times New Roman"/>
          <w:sz w:val="20"/>
          <w:szCs w:val="20"/>
        </w:rPr>
      </w:pPr>
      <w:r w:rsidRPr="009B3385">
        <w:rPr>
          <w:rFonts w:ascii="Times New Roman" w:hAnsi="Times New Roman" w:cs="Times New Roman"/>
          <w:sz w:val="20"/>
          <w:szCs w:val="20"/>
        </w:rPr>
        <w:t>Source: computed from Table 3.</w:t>
      </w:r>
    </w:p>
    <w:p w:rsidR="00894BCC" w:rsidRPr="005405C2" w:rsidRDefault="00894BCC" w:rsidP="00894BCC">
      <w:pPr>
        <w:spacing w:after="0" w:line="240" w:lineRule="auto"/>
        <w:jc w:val="both"/>
        <w:rPr>
          <w:rFonts w:ascii="Times New Roman" w:hAnsi="Times New Roman"/>
          <w:sz w:val="20"/>
          <w:szCs w:val="20"/>
        </w:rPr>
      </w:pPr>
      <w:r w:rsidRPr="005405C2">
        <w:rPr>
          <w:rFonts w:ascii="Times New Roman" w:hAnsi="Times New Roman"/>
          <w:sz w:val="20"/>
          <w:szCs w:val="20"/>
        </w:rPr>
        <w:t xml:space="preserve">Note: The decision made in each of the tests is based on the estimation results with consideration to constant only and intercept and trend. </w:t>
      </w:r>
      <w:proofErr w:type="gramStart"/>
      <w:r w:rsidRPr="005405C2">
        <w:rPr>
          <w:rFonts w:ascii="Times New Roman" w:hAnsi="Times New Roman"/>
          <w:sz w:val="20"/>
          <w:szCs w:val="20"/>
        </w:rPr>
        <w:t>I(</w:t>
      </w:r>
      <w:proofErr w:type="gramEnd"/>
      <w:r w:rsidRPr="005405C2">
        <w:rPr>
          <w:rFonts w:ascii="Times New Roman" w:hAnsi="Times New Roman"/>
          <w:sz w:val="20"/>
          <w:szCs w:val="20"/>
        </w:rPr>
        <w:t>0) represents stationary of a variable (i.e. significant at level) while I(1) denotes non-stationary (i.e. not significant at level).</w:t>
      </w:r>
    </w:p>
    <w:p w:rsidR="00894BCC" w:rsidRPr="00894BCC" w:rsidRDefault="00894BCC" w:rsidP="00894BCC">
      <w:pPr>
        <w:pStyle w:val="T1"/>
        <w:rPr>
          <w:b w:val="0"/>
        </w:rPr>
      </w:pPr>
      <w:bookmarkStart w:id="35" w:name="_Toc97822415"/>
      <w:bookmarkStart w:id="36" w:name="_Toc114691629"/>
      <w:bookmarkStart w:id="37" w:name="_Toc115647338"/>
      <w:r w:rsidRPr="00894BCC">
        <w:rPr>
          <w:b w:val="0"/>
        </w:rPr>
        <w:lastRenderedPageBreak/>
        <w:t xml:space="preserve">In using ARDL approach, there is also a need to determine the optimal lag length using five different information criteria which are: </w:t>
      </w:r>
      <w:proofErr w:type="spellStart"/>
      <w:r w:rsidRPr="00894BCC">
        <w:rPr>
          <w:b w:val="0"/>
        </w:rPr>
        <w:t>Akaike</w:t>
      </w:r>
      <w:proofErr w:type="spellEnd"/>
      <w:r w:rsidRPr="00894BCC">
        <w:rPr>
          <w:b w:val="0"/>
        </w:rPr>
        <w:t xml:space="preserve"> Information Criterion (AIC), Schwartz Information Criterion (SIC), </w:t>
      </w:r>
      <w:proofErr w:type="spellStart"/>
      <w:r w:rsidRPr="00894BCC">
        <w:rPr>
          <w:b w:val="0"/>
        </w:rPr>
        <w:t>Hannan</w:t>
      </w:r>
      <w:proofErr w:type="spellEnd"/>
      <w:r w:rsidRPr="00894BCC">
        <w:rPr>
          <w:b w:val="0"/>
        </w:rPr>
        <w:t>-Quinn Information Criterion (HQ), Final Prediction Error (FPE) and Sequential Modified LR test Statistic. From the result presented in Table 5, the optimal lag length suggested for the stochastic equation is two, i.e., p* = 2 is chosen.</w:t>
      </w:r>
      <w:bookmarkEnd w:id="35"/>
      <w:bookmarkEnd w:id="36"/>
      <w:bookmarkEnd w:id="37"/>
    </w:p>
    <w:p w:rsidR="00894BCC" w:rsidRPr="00F2002E" w:rsidRDefault="00894BCC" w:rsidP="00894BCC">
      <w:pPr>
        <w:pStyle w:val="T1"/>
      </w:pPr>
      <w:bookmarkStart w:id="38" w:name="_Toc115647339"/>
      <w:r w:rsidRPr="00F2002E">
        <w:rPr>
          <w:bCs/>
        </w:rPr>
        <w:t xml:space="preserve">Table 5: </w:t>
      </w:r>
      <w:r w:rsidRPr="00F2002E">
        <w:t>Maximum lag length table</w:t>
      </w:r>
      <w:bookmarkEnd w:id="38"/>
    </w:p>
    <w:tbl>
      <w:tblPr>
        <w:tblStyle w:val="TableGrid"/>
        <w:tblW w:w="0" w:type="auto"/>
        <w:jc w:val="center"/>
        <w:tblLook w:val="04A0" w:firstRow="1" w:lastRow="0" w:firstColumn="1" w:lastColumn="0" w:noHBand="0" w:noVBand="1"/>
      </w:tblPr>
      <w:tblGrid>
        <w:gridCol w:w="1335"/>
        <w:gridCol w:w="1335"/>
        <w:gridCol w:w="1336"/>
        <w:gridCol w:w="1336"/>
        <w:gridCol w:w="1336"/>
        <w:gridCol w:w="1336"/>
        <w:gridCol w:w="1336"/>
      </w:tblGrid>
      <w:tr w:rsidR="00894BCC" w:rsidRPr="00894BCC" w:rsidTr="00FE4F82">
        <w:trPr>
          <w:jc w:val="center"/>
        </w:trPr>
        <w:tc>
          <w:tcPr>
            <w:tcW w:w="9350" w:type="dxa"/>
            <w:gridSpan w:val="7"/>
          </w:tcPr>
          <w:p w:rsidR="00894BCC" w:rsidRPr="00894BCC" w:rsidRDefault="00894BCC" w:rsidP="00FE4F82">
            <w:pPr>
              <w:pStyle w:val="Default"/>
              <w:rPr>
                <w:sz w:val="20"/>
                <w:szCs w:val="20"/>
              </w:rPr>
            </w:pPr>
            <w:r w:rsidRPr="00894BCC">
              <w:rPr>
                <w:sz w:val="20"/>
                <w:szCs w:val="20"/>
              </w:rPr>
              <w:t xml:space="preserve">VAR lag order selection criteria </w:t>
            </w:r>
          </w:p>
          <w:p w:rsidR="00894BCC" w:rsidRPr="00894BCC" w:rsidRDefault="00894BCC" w:rsidP="00FE4F82">
            <w:pPr>
              <w:spacing w:line="240" w:lineRule="auto"/>
              <w:rPr>
                <w:rFonts w:ascii="Times New Roman" w:hAnsi="Times New Roman" w:cs="Times New Roman"/>
                <w:color w:val="000000"/>
                <w:sz w:val="20"/>
                <w:szCs w:val="20"/>
              </w:rPr>
            </w:pPr>
            <w:r w:rsidRPr="00894BCC">
              <w:rPr>
                <w:rFonts w:ascii="Times New Roman" w:hAnsi="Times New Roman" w:cs="Times New Roman"/>
                <w:sz w:val="20"/>
                <w:szCs w:val="20"/>
              </w:rPr>
              <w:t xml:space="preserve">Endogenous variables: </w:t>
            </w:r>
            <w:r w:rsidRPr="00894BCC">
              <w:rPr>
                <w:rFonts w:ascii="Times New Roman" w:hAnsi="Times New Roman" w:cs="Times New Roman"/>
                <w:i/>
                <w:sz w:val="20"/>
                <w:szCs w:val="20"/>
              </w:rPr>
              <w:t xml:space="preserve"> </w:t>
            </w:r>
            <w:r w:rsidRPr="00894BCC">
              <w:rPr>
                <w:rFonts w:ascii="Times New Roman" w:hAnsi="Times New Roman" w:cs="Times New Roman"/>
                <w:i/>
                <w:color w:val="000000"/>
                <w:sz w:val="20"/>
                <w:szCs w:val="20"/>
              </w:rPr>
              <w:t>TNOE TNOE/GDP</w:t>
            </w:r>
            <w:r w:rsidRPr="00894BCC">
              <w:rPr>
                <w:rFonts w:ascii="Times New Roman" w:hAnsi="Times New Roman" w:cs="Times New Roman"/>
                <w:i/>
                <w:iCs/>
                <w:sz w:val="20"/>
                <w:szCs w:val="20"/>
              </w:rPr>
              <w:t xml:space="preserve"> </w:t>
            </w:r>
            <w:r w:rsidRPr="00894BCC">
              <w:rPr>
                <w:rFonts w:ascii="Times New Roman" w:hAnsi="Times New Roman" w:cs="Times New Roman"/>
                <w:i/>
                <w:color w:val="000000"/>
                <w:sz w:val="20"/>
                <w:szCs w:val="20"/>
              </w:rPr>
              <w:t>GR_TNOE TNOE/TE</w:t>
            </w:r>
            <w:r w:rsidRPr="00894BCC">
              <w:rPr>
                <w:rFonts w:ascii="Times New Roman" w:hAnsi="Times New Roman" w:cs="Times New Roman"/>
                <w:i/>
                <w:iCs/>
                <w:sz w:val="20"/>
                <w:szCs w:val="20"/>
              </w:rPr>
              <w:t xml:space="preserve"> </w:t>
            </w:r>
            <w:r w:rsidRPr="00894BCC">
              <w:rPr>
                <w:rFonts w:ascii="Times New Roman" w:hAnsi="Times New Roman" w:cs="Times New Roman"/>
                <w:i/>
                <w:color w:val="000000"/>
                <w:sz w:val="20"/>
                <w:szCs w:val="20"/>
              </w:rPr>
              <w:t xml:space="preserve">CBEC MPR </w:t>
            </w:r>
            <w:proofErr w:type="spellStart"/>
            <w:r w:rsidRPr="00894BCC">
              <w:rPr>
                <w:rFonts w:ascii="Times New Roman" w:hAnsi="Times New Roman" w:cs="Times New Roman"/>
                <w:i/>
                <w:color w:val="000000"/>
                <w:sz w:val="20"/>
                <w:szCs w:val="20"/>
              </w:rPr>
              <w:t>MPR</w:t>
            </w:r>
            <w:proofErr w:type="spellEnd"/>
            <w:r w:rsidRPr="00894BCC">
              <w:rPr>
                <w:rFonts w:ascii="Times New Roman" w:hAnsi="Times New Roman" w:cs="Times New Roman"/>
                <w:i/>
                <w:iCs/>
                <w:sz w:val="20"/>
                <w:szCs w:val="20"/>
              </w:rPr>
              <w:t xml:space="preserve"> INFR EXCR OPEN RGDP</w:t>
            </w:r>
          </w:p>
        </w:tc>
      </w:tr>
      <w:tr w:rsidR="00894BCC" w:rsidRPr="00894BCC" w:rsidTr="00FE4F82">
        <w:trPr>
          <w:jc w:val="center"/>
        </w:trPr>
        <w:tc>
          <w:tcPr>
            <w:tcW w:w="1335" w:type="dxa"/>
          </w:tcPr>
          <w:p w:rsidR="00894BCC" w:rsidRPr="00894BCC" w:rsidRDefault="00894BCC" w:rsidP="00FE4F82">
            <w:pPr>
              <w:spacing w:line="240" w:lineRule="auto"/>
              <w:jc w:val="center"/>
              <w:rPr>
                <w:rFonts w:ascii="Times New Roman" w:hAnsi="Times New Roman" w:cs="Times New Roman"/>
                <w:sz w:val="20"/>
                <w:szCs w:val="20"/>
              </w:rPr>
            </w:pPr>
            <w:r w:rsidRPr="00894BCC">
              <w:rPr>
                <w:rFonts w:ascii="Times New Roman" w:hAnsi="Times New Roman" w:cs="Times New Roman"/>
                <w:color w:val="000000"/>
                <w:sz w:val="20"/>
                <w:szCs w:val="20"/>
              </w:rPr>
              <w:t>Lag</w:t>
            </w:r>
          </w:p>
        </w:tc>
        <w:tc>
          <w:tcPr>
            <w:tcW w:w="1335" w:type="dxa"/>
          </w:tcPr>
          <w:p w:rsidR="00894BCC" w:rsidRPr="00894BCC" w:rsidRDefault="00894BCC" w:rsidP="00FE4F82">
            <w:pPr>
              <w:spacing w:line="240" w:lineRule="auto"/>
              <w:jc w:val="center"/>
              <w:rPr>
                <w:rFonts w:ascii="Times New Roman" w:hAnsi="Times New Roman" w:cs="Times New Roman"/>
                <w:sz w:val="20"/>
                <w:szCs w:val="20"/>
              </w:rPr>
            </w:pPr>
            <w:proofErr w:type="spellStart"/>
            <w:r w:rsidRPr="00894BCC">
              <w:rPr>
                <w:rFonts w:ascii="Times New Roman" w:hAnsi="Times New Roman" w:cs="Times New Roman"/>
                <w:color w:val="000000"/>
                <w:sz w:val="20"/>
                <w:szCs w:val="20"/>
              </w:rPr>
              <w:t>LogL</w:t>
            </w:r>
            <w:proofErr w:type="spellEnd"/>
          </w:p>
        </w:tc>
        <w:tc>
          <w:tcPr>
            <w:tcW w:w="1336" w:type="dxa"/>
          </w:tcPr>
          <w:p w:rsidR="00894BCC" w:rsidRPr="00894BCC" w:rsidRDefault="00894BCC" w:rsidP="00FE4F82">
            <w:pPr>
              <w:spacing w:line="240" w:lineRule="auto"/>
              <w:jc w:val="center"/>
              <w:rPr>
                <w:rFonts w:ascii="Times New Roman" w:hAnsi="Times New Roman" w:cs="Times New Roman"/>
                <w:sz w:val="20"/>
                <w:szCs w:val="20"/>
              </w:rPr>
            </w:pPr>
            <w:r w:rsidRPr="00894BCC">
              <w:rPr>
                <w:rFonts w:ascii="Times New Roman" w:hAnsi="Times New Roman" w:cs="Times New Roman"/>
                <w:color w:val="000000"/>
                <w:sz w:val="20"/>
                <w:szCs w:val="20"/>
              </w:rPr>
              <w:t>LR</w:t>
            </w:r>
          </w:p>
        </w:tc>
        <w:tc>
          <w:tcPr>
            <w:tcW w:w="1336" w:type="dxa"/>
          </w:tcPr>
          <w:p w:rsidR="00894BCC" w:rsidRPr="00894BCC" w:rsidRDefault="00894BCC" w:rsidP="00FE4F82">
            <w:pPr>
              <w:spacing w:line="240" w:lineRule="auto"/>
              <w:jc w:val="center"/>
              <w:rPr>
                <w:rFonts w:ascii="Times New Roman" w:hAnsi="Times New Roman" w:cs="Times New Roman"/>
                <w:sz w:val="20"/>
                <w:szCs w:val="20"/>
              </w:rPr>
            </w:pPr>
            <w:r w:rsidRPr="00894BCC">
              <w:rPr>
                <w:rFonts w:ascii="Times New Roman" w:hAnsi="Times New Roman" w:cs="Times New Roman"/>
                <w:color w:val="000000"/>
                <w:sz w:val="20"/>
                <w:szCs w:val="20"/>
              </w:rPr>
              <w:t>FPE</w:t>
            </w:r>
          </w:p>
        </w:tc>
        <w:tc>
          <w:tcPr>
            <w:tcW w:w="1336" w:type="dxa"/>
          </w:tcPr>
          <w:p w:rsidR="00894BCC" w:rsidRPr="00894BCC" w:rsidRDefault="00894BCC" w:rsidP="00FE4F82">
            <w:pPr>
              <w:spacing w:line="240" w:lineRule="auto"/>
              <w:jc w:val="center"/>
              <w:rPr>
                <w:rFonts w:ascii="Times New Roman" w:hAnsi="Times New Roman" w:cs="Times New Roman"/>
                <w:sz w:val="20"/>
                <w:szCs w:val="20"/>
              </w:rPr>
            </w:pPr>
            <w:r w:rsidRPr="00894BCC">
              <w:rPr>
                <w:rFonts w:ascii="Times New Roman" w:hAnsi="Times New Roman" w:cs="Times New Roman"/>
                <w:color w:val="000000"/>
                <w:sz w:val="20"/>
                <w:szCs w:val="20"/>
              </w:rPr>
              <w:t>AIC</w:t>
            </w:r>
          </w:p>
        </w:tc>
        <w:tc>
          <w:tcPr>
            <w:tcW w:w="1336" w:type="dxa"/>
          </w:tcPr>
          <w:p w:rsidR="00894BCC" w:rsidRPr="00894BCC" w:rsidRDefault="00894BCC" w:rsidP="00FE4F82">
            <w:pPr>
              <w:spacing w:line="240" w:lineRule="auto"/>
              <w:jc w:val="center"/>
              <w:rPr>
                <w:rFonts w:ascii="Times New Roman" w:hAnsi="Times New Roman" w:cs="Times New Roman"/>
                <w:sz w:val="20"/>
                <w:szCs w:val="20"/>
              </w:rPr>
            </w:pPr>
            <w:r w:rsidRPr="00894BCC">
              <w:rPr>
                <w:rFonts w:ascii="Times New Roman" w:hAnsi="Times New Roman" w:cs="Times New Roman"/>
                <w:color w:val="000000"/>
                <w:sz w:val="20"/>
                <w:szCs w:val="20"/>
              </w:rPr>
              <w:t>SC</w:t>
            </w:r>
          </w:p>
        </w:tc>
        <w:tc>
          <w:tcPr>
            <w:tcW w:w="1336" w:type="dxa"/>
          </w:tcPr>
          <w:p w:rsidR="00894BCC" w:rsidRPr="00894BCC" w:rsidRDefault="00894BCC" w:rsidP="00FE4F82">
            <w:pPr>
              <w:spacing w:line="240" w:lineRule="auto"/>
              <w:jc w:val="center"/>
              <w:rPr>
                <w:rFonts w:ascii="Times New Roman" w:hAnsi="Times New Roman" w:cs="Times New Roman"/>
                <w:sz w:val="20"/>
                <w:szCs w:val="20"/>
              </w:rPr>
            </w:pPr>
            <w:r w:rsidRPr="00894BCC">
              <w:rPr>
                <w:rFonts w:ascii="Times New Roman" w:hAnsi="Times New Roman" w:cs="Times New Roman"/>
                <w:color w:val="000000"/>
                <w:sz w:val="20"/>
                <w:szCs w:val="20"/>
              </w:rPr>
              <w:t>HQ</w:t>
            </w:r>
          </w:p>
        </w:tc>
      </w:tr>
      <w:tr w:rsidR="00894BCC" w:rsidRPr="00894BCC" w:rsidTr="00FE4F82">
        <w:trPr>
          <w:jc w:val="center"/>
        </w:trPr>
        <w:tc>
          <w:tcPr>
            <w:tcW w:w="1335" w:type="dxa"/>
          </w:tcPr>
          <w:p w:rsidR="00894BCC" w:rsidRPr="00894BCC" w:rsidRDefault="00894BCC" w:rsidP="00FE4F82">
            <w:pPr>
              <w:spacing w:line="240" w:lineRule="auto"/>
              <w:jc w:val="center"/>
              <w:rPr>
                <w:rFonts w:ascii="Times New Roman" w:hAnsi="Times New Roman" w:cs="Times New Roman"/>
                <w:sz w:val="20"/>
                <w:szCs w:val="20"/>
              </w:rPr>
            </w:pPr>
            <w:r w:rsidRPr="00894BCC">
              <w:rPr>
                <w:rFonts w:ascii="Times New Roman" w:hAnsi="Times New Roman" w:cs="Times New Roman"/>
                <w:sz w:val="20"/>
                <w:szCs w:val="20"/>
              </w:rPr>
              <w:t>0</w:t>
            </w:r>
          </w:p>
        </w:tc>
        <w:tc>
          <w:tcPr>
            <w:tcW w:w="1335" w:type="dxa"/>
          </w:tcPr>
          <w:p w:rsidR="00894BCC" w:rsidRPr="00894BCC" w:rsidRDefault="00894BCC" w:rsidP="00FE4F82">
            <w:pPr>
              <w:spacing w:line="240" w:lineRule="auto"/>
              <w:jc w:val="center"/>
              <w:rPr>
                <w:rFonts w:ascii="Times New Roman" w:hAnsi="Times New Roman" w:cs="Times New Roman"/>
                <w:sz w:val="20"/>
                <w:szCs w:val="20"/>
              </w:rPr>
            </w:pPr>
            <w:r w:rsidRPr="00894BCC">
              <w:rPr>
                <w:rFonts w:ascii="Times New Roman" w:hAnsi="Times New Roman" w:cs="Times New Roman"/>
                <w:color w:val="000000"/>
                <w:sz w:val="20"/>
                <w:szCs w:val="20"/>
              </w:rPr>
              <w:t>-3268.252</w:t>
            </w:r>
          </w:p>
        </w:tc>
        <w:tc>
          <w:tcPr>
            <w:tcW w:w="1336" w:type="dxa"/>
          </w:tcPr>
          <w:p w:rsidR="00894BCC" w:rsidRPr="00894BCC" w:rsidRDefault="00894BCC" w:rsidP="00FE4F82">
            <w:pPr>
              <w:spacing w:line="240" w:lineRule="auto"/>
              <w:jc w:val="center"/>
              <w:rPr>
                <w:rFonts w:ascii="Times New Roman" w:hAnsi="Times New Roman" w:cs="Times New Roman"/>
                <w:sz w:val="20"/>
                <w:szCs w:val="20"/>
              </w:rPr>
            </w:pPr>
            <w:r w:rsidRPr="00894BCC">
              <w:rPr>
                <w:rFonts w:ascii="Times New Roman" w:hAnsi="Times New Roman" w:cs="Times New Roman"/>
                <w:color w:val="000000"/>
                <w:sz w:val="20"/>
                <w:szCs w:val="20"/>
              </w:rPr>
              <w:t>NA </w:t>
            </w:r>
          </w:p>
        </w:tc>
        <w:tc>
          <w:tcPr>
            <w:tcW w:w="1336" w:type="dxa"/>
          </w:tcPr>
          <w:p w:rsidR="00894BCC" w:rsidRPr="00894BCC" w:rsidRDefault="00894BCC" w:rsidP="00FE4F82">
            <w:pPr>
              <w:spacing w:line="240" w:lineRule="auto"/>
              <w:jc w:val="center"/>
              <w:rPr>
                <w:rFonts w:ascii="Times New Roman" w:hAnsi="Times New Roman" w:cs="Times New Roman"/>
                <w:sz w:val="20"/>
                <w:szCs w:val="20"/>
              </w:rPr>
            </w:pPr>
            <w:r w:rsidRPr="00894BCC">
              <w:rPr>
                <w:rFonts w:ascii="Times New Roman" w:hAnsi="Times New Roman" w:cs="Times New Roman"/>
                <w:color w:val="000000"/>
                <w:sz w:val="20"/>
                <w:szCs w:val="20"/>
              </w:rPr>
              <w:t>1.85e+58</w:t>
            </w:r>
          </w:p>
        </w:tc>
        <w:tc>
          <w:tcPr>
            <w:tcW w:w="1336" w:type="dxa"/>
          </w:tcPr>
          <w:p w:rsidR="00894BCC" w:rsidRPr="00894BCC" w:rsidRDefault="00894BCC" w:rsidP="00FE4F82">
            <w:pPr>
              <w:spacing w:line="240" w:lineRule="auto"/>
              <w:jc w:val="center"/>
              <w:rPr>
                <w:rFonts w:ascii="Times New Roman" w:hAnsi="Times New Roman" w:cs="Times New Roman"/>
                <w:sz w:val="20"/>
                <w:szCs w:val="20"/>
              </w:rPr>
            </w:pPr>
            <w:r w:rsidRPr="00894BCC">
              <w:rPr>
                <w:rFonts w:ascii="Times New Roman" w:hAnsi="Times New Roman" w:cs="Times New Roman"/>
                <w:color w:val="000000"/>
                <w:sz w:val="20"/>
                <w:szCs w:val="20"/>
              </w:rPr>
              <w:t>168.2180</w:t>
            </w:r>
          </w:p>
        </w:tc>
        <w:tc>
          <w:tcPr>
            <w:tcW w:w="1336" w:type="dxa"/>
          </w:tcPr>
          <w:p w:rsidR="00894BCC" w:rsidRPr="00894BCC" w:rsidRDefault="00894BCC" w:rsidP="00FE4F82">
            <w:pPr>
              <w:spacing w:line="240" w:lineRule="auto"/>
              <w:jc w:val="center"/>
              <w:rPr>
                <w:rFonts w:ascii="Times New Roman" w:hAnsi="Times New Roman" w:cs="Times New Roman"/>
                <w:sz w:val="20"/>
                <w:szCs w:val="20"/>
              </w:rPr>
            </w:pPr>
            <w:r w:rsidRPr="00894BCC">
              <w:rPr>
                <w:rFonts w:ascii="Times New Roman" w:hAnsi="Times New Roman" w:cs="Times New Roman"/>
                <w:color w:val="000000"/>
                <w:sz w:val="20"/>
                <w:szCs w:val="20"/>
              </w:rPr>
              <w:t>168.7299</w:t>
            </w:r>
          </w:p>
        </w:tc>
        <w:tc>
          <w:tcPr>
            <w:tcW w:w="1336" w:type="dxa"/>
          </w:tcPr>
          <w:p w:rsidR="00894BCC" w:rsidRPr="00894BCC" w:rsidRDefault="00894BCC" w:rsidP="00FE4F82">
            <w:pPr>
              <w:spacing w:line="240" w:lineRule="auto"/>
              <w:jc w:val="center"/>
              <w:rPr>
                <w:rFonts w:ascii="Times New Roman" w:hAnsi="Times New Roman" w:cs="Times New Roman"/>
                <w:sz w:val="20"/>
                <w:szCs w:val="20"/>
              </w:rPr>
            </w:pPr>
            <w:r w:rsidRPr="00894BCC">
              <w:rPr>
                <w:rFonts w:ascii="Times New Roman" w:hAnsi="Times New Roman" w:cs="Times New Roman"/>
                <w:color w:val="000000"/>
                <w:sz w:val="20"/>
                <w:szCs w:val="20"/>
              </w:rPr>
              <w:t>168.4017</w:t>
            </w:r>
          </w:p>
        </w:tc>
      </w:tr>
      <w:tr w:rsidR="00894BCC" w:rsidRPr="00894BCC" w:rsidTr="00FE4F82">
        <w:trPr>
          <w:jc w:val="center"/>
        </w:trPr>
        <w:tc>
          <w:tcPr>
            <w:tcW w:w="1335" w:type="dxa"/>
          </w:tcPr>
          <w:p w:rsidR="00894BCC" w:rsidRPr="00894BCC" w:rsidRDefault="00894BCC" w:rsidP="00FE4F82">
            <w:pPr>
              <w:spacing w:line="240" w:lineRule="auto"/>
              <w:jc w:val="center"/>
              <w:rPr>
                <w:rFonts w:ascii="Times New Roman" w:hAnsi="Times New Roman" w:cs="Times New Roman"/>
                <w:sz w:val="20"/>
                <w:szCs w:val="20"/>
              </w:rPr>
            </w:pPr>
            <w:r w:rsidRPr="00894BCC">
              <w:rPr>
                <w:rFonts w:ascii="Times New Roman" w:hAnsi="Times New Roman" w:cs="Times New Roman"/>
                <w:sz w:val="20"/>
                <w:szCs w:val="20"/>
              </w:rPr>
              <w:t>1</w:t>
            </w:r>
          </w:p>
        </w:tc>
        <w:tc>
          <w:tcPr>
            <w:tcW w:w="1335" w:type="dxa"/>
          </w:tcPr>
          <w:p w:rsidR="00894BCC" w:rsidRPr="00894BCC" w:rsidRDefault="00894BCC" w:rsidP="00FE4F82">
            <w:pPr>
              <w:spacing w:line="240" w:lineRule="auto"/>
              <w:jc w:val="center"/>
              <w:rPr>
                <w:rFonts w:ascii="Times New Roman" w:hAnsi="Times New Roman" w:cs="Times New Roman"/>
                <w:sz w:val="20"/>
                <w:szCs w:val="20"/>
              </w:rPr>
            </w:pPr>
            <w:r w:rsidRPr="00894BCC">
              <w:rPr>
                <w:rFonts w:ascii="Times New Roman" w:hAnsi="Times New Roman" w:cs="Times New Roman"/>
                <w:color w:val="000000"/>
                <w:sz w:val="20"/>
                <w:szCs w:val="20"/>
              </w:rPr>
              <w:t>-2878.115</w:t>
            </w:r>
          </w:p>
        </w:tc>
        <w:tc>
          <w:tcPr>
            <w:tcW w:w="1336" w:type="dxa"/>
          </w:tcPr>
          <w:p w:rsidR="00894BCC" w:rsidRPr="00894BCC" w:rsidRDefault="00894BCC" w:rsidP="00FE4F82">
            <w:pPr>
              <w:spacing w:line="240" w:lineRule="auto"/>
              <w:jc w:val="center"/>
              <w:rPr>
                <w:rFonts w:ascii="Times New Roman" w:hAnsi="Times New Roman" w:cs="Times New Roman"/>
                <w:sz w:val="20"/>
                <w:szCs w:val="20"/>
              </w:rPr>
            </w:pPr>
            <w:r w:rsidRPr="00894BCC">
              <w:rPr>
                <w:rFonts w:ascii="Times New Roman" w:hAnsi="Times New Roman" w:cs="Times New Roman"/>
                <w:color w:val="000000"/>
                <w:sz w:val="20"/>
                <w:szCs w:val="20"/>
              </w:rPr>
              <w:t>520.1821</w:t>
            </w:r>
          </w:p>
        </w:tc>
        <w:tc>
          <w:tcPr>
            <w:tcW w:w="1336" w:type="dxa"/>
          </w:tcPr>
          <w:p w:rsidR="00894BCC" w:rsidRPr="00894BCC" w:rsidRDefault="00894BCC" w:rsidP="00FE4F82">
            <w:pPr>
              <w:spacing w:line="240" w:lineRule="auto"/>
              <w:jc w:val="center"/>
              <w:rPr>
                <w:rFonts w:ascii="Times New Roman" w:hAnsi="Times New Roman" w:cs="Times New Roman"/>
                <w:sz w:val="20"/>
                <w:szCs w:val="20"/>
              </w:rPr>
            </w:pPr>
            <w:r w:rsidRPr="00894BCC">
              <w:rPr>
                <w:rFonts w:ascii="Times New Roman" w:hAnsi="Times New Roman" w:cs="Times New Roman"/>
                <w:color w:val="000000"/>
                <w:sz w:val="20"/>
                <w:szCs w:val="20"/>
              </w:rPr>
              <w:t>8.37e+52</w:t>
            </w:r>
          </w:p>
        </w:tc>
        <w:tc>
          <w:tcPr>
            <w:tcW w:w="1336" w:type="dxa"/>
          </w:tcPr>
          <w:p w:rsidR="00894BCC" w:rsidRPr="00894BCC" w:rsidRDefault="00894BCC" w:rsidP="00FE4F82">
            <w:pPr>
              <w:spacing w:line="240" w:lineRule="auto"/>
              <w:jc w:val="center"/>
              <w:rPr>
                <w:rFonts w:ascii="Times New Roman" w:hAnsi="Times New Roman" w:cs="Times New Roman"/>
                <w:sz w:val="20"/>
                <w:szCs w:val="20"/>
              </w:rPr>
            </w:pPr>
            <w:r w:rsidRPr="00894BCC">
              <w:rPr>
                <w:rFonts w:ascii="Times New Roman" w:hAnsi="Times New Roman" w:cs="Times New Roman"/>
                <w:color w:val="000000"/>
                <w:sz w:val="20"/>
                <w:szCs w:val="20"/>
              </w:rPr>
              <w:t>155.5956</w:t>
            </w:r>
          </w:p>
        </w:tc>
        <w:tc>
          <w:tcPr>
            <w:tcW w:w="1336" w:type="dxa"/>
          </w:tcPr>
          <w:p w:rsidR="00894BCC" w:rsidRPr="00894BCC" w:rsidRDefault="00894BCC" w:rsidP="00FE4F82">
            <w:pPr>
              <w:spacing w:line="240" w:lineRule="auto"/>
              <w:jc w:val="center"/>
              <w:rPr>
                <w:rFonts w:ascii="Times New Roman" w:hAnsi="Times New Roman" w:cs="Times New Roman"/>
                <w:sz w:val="20"/>
                <w:szCs w:val="20"/>
              </w:rPr>
            </w:pPr>
            <w:r w:rsidRPr="00894BCC">
              <w:rPr>
                <w:rFonts w:ascii="Times New Roman" w:hAnsi="Times New Roman" w:cs="Times New Roman"/>
                <w:color w:val="000000"/>
                <w:sz w:val="20"/>
                <w:szCs w:val="20"/>
              </w:rPr>
              <w:t>162.2499</w:t>
            </w:r>
          </w:p>
        </w:tc>
        <w:tc>
          <w:tcPr>
            <w:tcW w:w="1336" w:type="dxa"/>
          </w:tcPr>
          <w:p w:rsidR="00894BCC" w:rsidRPr="00894BCC" w:rsidRDefault="00894BCC" w:rsidP="00FE4F82">
            <w:pPr>
              <w:spacing w:line="240" w:lineRule="auto"/>
              <w:jc w:val="center"/>
              <w:rPr>
                <w:rFonts w:ascii="Times New Roman" w:hAnsi="Times New Roman" w:cs="Times New Roman"/>
                <w:sz w:val="20"/>
                <w:szCs w:val="20"/>
              </w:rPr>
            </w:pPr>
            <w:r w:rsidRPr="00894BCC">
              <w:rPr>
                <w:rFonts w:ascii="Times New Roman" w:hAnsi="Times New Roman" w:cs="Times New Roman"/>
                <w:color w:val="000000"/>
                <w:sz w:val="20"/>
                <w:szCs w:val="20"/>
              </w:rPr>
              <w:t>157.9831</w:t>
            </w:r>
          </w:p>
        </w:tc>
      </w:tr>
      <w:tr w:rsidR="00894BCC" w:rsidRPr="00894BCC" w:rsidTr="00FE4F82">
        <w:trPr>
          <w:jc w:val="center"/>
        </w:trPr>
        <w:tc>
          <w:tcPr>
            <w:tcW w:w="1335" w:type="dxa"/>
          </w:tcPr>
          <w:p w:rsidR="00894BCC" w:rsidRPr="00894BCC" w:rsidRDefault="00894BCC" w:rsidP="00FE4F82">
            <w:pPr>
              <w:spacing w:line="240" w:lineRule="auto"/>
              <w:jc w:val="center"/>
              <w:rPr>
                <w:rFonts w:ascii="Times New Roman" w:hAnsi="Times New Roman" w:cs="Times New Roman"/>
                <w:sz w:val="20"/>
                <w:szCs w:val="20"/>
              </w:rPr>
            </w:pPr>
            <w:r w:rsidRPr="00894BCC">
              <w:rPr>
                <w:rFonts w:ascii="Times New Roman" w:hAnsi="Times New Roman" w:cs="Times New Roman"/>
                <w:sz w:val="20"/>
                <w:szCs w:val="20"/>
              </w:rPr>
              <w:t>2</w:t>
            </w:r>
          </w:p>
        </w:tc>
        <w:tc>
          <w:tcPr>
            <w:tcW w:w="1335" w:type="dxa"/>
          </w:tcPr>
          <w:p w:rsidR="00894BCC" w:rsidRPr="00894BCC" w:rsidRDefault="00894BCC" w:rsidP="00FE4F82">
            <w:pPr>
              <w:spacing w:line="240" w:lineRule="auto"/>
              <w:jc w:val="center"/>
              <w:rPr>
                <w:rFonts w:ascii="Times New Roman" w:hAnsi="Times New Roman" w:cs="Times New Roman"/>
                <w:sz w:val="20"/>
                <w:szCs w:val="20"/>
              </w:rPr>
            </w:pPr>
            <w:r w:rsidRPr="00894BCC">
              <w:rPr>
                <w:rFonts w:ascii="Times New Roman" w:hAnsi="Times New Roman" w:cs="Times New Roman"/>
                <w:color w:val="000000"/>
                <w:sz w:val="20"/>
                <w:szCs w:val="20"/>
              </w:rPr>
              <w:t>-2464.407</w:t>
            </w:r>
          </w:p>
        </w:tc>
        <w:tc>
          <w:tcPr>
            <w:tcW w:w="1336" w:type="dxa"/>
          </w:tcPr>
          <w:p w:rsidR="00894BCC" w:rsidRPr="00894BCC" w:rsidRDefault="00894BCC" w:rsidP="00FE4F82">
            <w:pPr>
              <w:spacing w:line="240" w:lineRule="auto"/>
              <w:jc w:val="center"/>
              <w:rPr>
                <w:rFonts w:ascii="Times New Roman" w:hAnsi="Times New Roman" w:cs="Times New Roman"/>
                <w:sz w:val="20"/>
                <w:szCs w:val="20"/>
              </w:rPr>
            </w:pPr>
            <w:r w:rsidRPr="00894BCC">
              <w:rPr>
                <w:rFonts w:ascii="Times New Roman" w:hAnsi="Times New Roman" w:cs="Times New Roman"/>
                <w:color w:val="000000"/>
                <w:sz w:val="20"/>
                <w:szCs w:val="20"/>
              </w:rPr>
              <w:t>297.0214*</w:t>
            </w:r>
          </w:p>
        </w:tc>
        <w:tc>
          <w:tcPr>
            <w:tcW w:w="1336" w:type="dxa"/>
          </w:tcPr>
          <w:p w:rsidR="00894BCC" w:rsidRPr="00894BCC" w:rsidRDefault="00894BCC" w:rsidP="00FE4F82">
            <w:pPr>
              <w:spacing w:line="240" w:lineRule="auto"/>
              <w:jc w:val="center"/>
              <w:rPr>
                <w:rFonts w:ascii="Times New Roman" w:hAnsi="Times New Roman" w:cs="Times New Roman"/>
                <w:sz w:val="20"/>
                <w:szCs w:val="20"/>
              </w:rPr>
            </w:pPr>
            <w:r w:rsidRPr="00894BCC">
              <w:rPr>
                <w:rFonts w:ascii="Times New Roman" w:hAnsi="Times New Roman" w:cs="Times New Roman"/>
                <w:color w:val="000000"/>
                <w:sz w:val="20"/>
                <w:szCs w:val="20"/>
              </w:rPr>
              <w:t>1.04e+48*</w:t>
            </w:r>
          </w:p>
        </w:tc>
        <w:tc>
          <w:tcPr>
            <w:tcW w:w="1336" w:type="dxa"/>
          </w:tcPr>
          <w:p w:rsidR="00894BCC" w:rsidRPr="00894BCC" w:rsidRDefault="00894BCC" w:rsidP="00FE4F82">
            <w:pPr>
              <w:spacing w:line="240" w:lineRule="auto"/>
              <w:jc w:val="center"/>
              <w:rPr>
                <w:rFonts w:ascii="Times New Roman" w:hAnsi="Times New Roman" w:cs="Times New Roman"/>
                <w:sz w:val="20"/>
                <w:szCs w:val="20"/>
              </w:rPr>
            </w:pPr>
            <w:r w:rsidRPr="00894BCC">
              <w:rPr>
                <w:rFonts w:ascii="Times New Roman" w:hAnsi="Times New Roman" w:cs="Times New Roman"/>
                <w:color w:val="000000"/>
                <w:sz w:val="20"/>
                <w:szCs w:val="20"/>
              </w:rPr>
              <w:t>141.7644*</w:t>
            </w:r>
          </w:p>
        </w:tc>
        <w:tc>
          <w:tcPr>
            <w:tcW w:w="1336" w:type="dxa"/>
          </w:tcPr>
          <w:p w:rsidR="00894BCC" w:rsidRPr="00894BCC" w:rsidRDefault="00894BCC" w:rsidP="00FE4F82">
            <w:pPr>
              <w:spacing w:line="240" w:lineRule="auto"/>
              <w:jc w:val="center"/>
              <w:rPr>
                <w:rFonts w:ascii="Times New Roman" w:hAnsi="Times New Roman" w:cs="Times New Roman"/>
                <w:sz w:val="20"/>
                <w:szCs w:val="20"/>
              </w:rPr>
            </w:pPr>
            <w:r w:rsidRPr="00894BCC">
              <w:rPr>
                <w:rFonts w:ascii="Times New Roman" w:hAnsi="Times New Roman" w:cs="Times New Roman"/>
                <w:color w:val="000000"/>
                <w:sz w:val="20"/>
                <w:szCs w:val="20"/>
              </w:rPr>
              <w:t>154.5611*</w:t>
            </w:r>
          </w:p>
        </w:tc>
        <w:tc>
          <w:tcPr>
            <w:tcW w:w="1336" w:type="dxa"/>
          </w:tcPr>
          <w:p w:rsidR="00894BCC" w:rsidRPr="00894BCC" w:rsidRDefault="00894BCC" w:rsidP="00FE4F82">
            <w:pPr>
              <w:spacing w:line="240" w:lineRule="auto"/>
              <w:jc w:val="center"/>
              <w:rPr>
                <w:rFonts w:ascii="Times New Roman" w:hAnsi="Times New Roman" w:cs="Times New Roman"/>
                <w:sz w:val="20"/>
                <w:szCs w:val="20"/>
              </w:rPr>
            </w:pPr>
            <w:r w:rsidRPr="00894BCC">
              <w:rPr>
                <w:rFonts w:ascii="Times New Roman" w:hAnsi="Times New Roman" w:cs="Times New Roman"/>
                <w:color w:val="000000"/>
                <w:sz w:val="20"/>
                <w:szCs w:val="20"/>
              </w:rPr>
              <w:t>146.3558*</w:t>
            </w:r>
          </w:p>
        </w:tc>
      </w:tr>
    </w:tbl>
    <w:p w:rsidR="00894BCC" w:rsidRDefault="00894BCC" w:rsidP="00894BCC">
      <w:pPr>
        <w:rPr>
          <w:rFonts w:ascii="Times New Roman" w:hAnsi="Times New Roman"/>
        </w:rPr>
      </w:pPr>
      <w:r w:rsidRPr="005B4FC0">
        <w:rPr>
          <w:rFonts w:ascii="Times New Roman" w:hAnsi="Times New Roman"/>
        </w:rPr>
        <w:t>Source: Computed. Note: * indicates lag order selected by the criterion</w:t>
      </w:r>
      <w:r>
        <w:rPr>
          <w:rFonts w:ascii="Times New Roman" w:hAnsi="Times New Roman"/>
        </w:rPr>
        <w:t>.</w:t>
      </w:r>
    </w:p>
    <w:p w:rsidR="00894BCC" w:rsidRPr="00894BCC" w:rsidRDefault="003D14A5" w:rsidP="00894BCC">
      <w:pPr>
        <w:pStyle w:val="H2"/>
        <w:rPr>
          <w:sz w:val="24"/>
          <w:szCs w:val="24"/>
        </w:rPr>
      </w:pPr>
      <w:bookmarkStart w:id="39" w:name="_Toc97822146"/>
      <w:bookmarkStart w:id="40" w:name="_Toc115647125"/>
      <w:r>
        <w:rPr>
          <w:sz w:val="24"/>
          <w:szCs w:val="24"/>
        </w:rPr>
        <w:t>4.3</w:t>
      </w:r>
      <w:r>
        <w:rPr>
          <w:sz w:val="24"/>
          <w:szCs w:val="24"/>
        </w:rPr>
        <w:tab/>
      </w:r>
      <w:r w:rsidR="00894BCC" w:rsidRPr="00894BCC">
        <w:rPr>
          <w:sz w:val="24"/>
          <w:szCs w:val="24"/>
        </w:rPr>
        <w:t>Bound Test</w:t>
      </w:r>
      <w:bookmarkEnd w:id="39"/>
      <w:bookmarkEnd w:id="40"/>
      <w:r w:rsidR="00894BCC" w:rsidRPr="00894BCC">
        <w:rPr>
          <w:sz w:val="24"/>
          <w:szCs w:val="24"/>
        </w:rPr>
        <w:t xml:space="preserve"> </w:t>
      </w:r>
    </w:p>
    <w:p w:rsidR="00894BCC" w:rsidRPr="00F2002E" w:rsidRDefault="00894BCC" w:rsidP="00894BCC">
      <w:pPr>
        <w:spacing w:line="360" w:lineRule="auto"/>
        <w:jc w:val="both"/>
        <w:rPr>
          <w:rFonts w:ascii="Times New Roman" w:hAnsi="Times New Roman" w:cs="Times New Roman"/>
          <w:color w:val="000000"/>
        </w:rPr>
      </w:pPr>
      <w:r w:rsidRPr="00894BCC">
        <w:rPr>
          <w:rFonts w:ascii="Times New Roman" w:hAnsi="Times New Roman" w:cs="Times New Roman"/>
          <w:color w:val="000000"/>
          <w:sz w:val="24"/>
          <w:szCs w:val="24"/>
        </w:rPr>
        <w:t>To determine the existence of long-run relationship between e</w:t>
      </w:r>
      <w:r w:rsidRPr="00894BCC">
        <w:rPr>
          <w:rFonts w:ascii="Times New Roman" w:hAnsi="Times New Roman" w:cs="Times New Roman"/>
          <w:sz w:val="24"/>
          <w:szCs w:val="24"/>
        </w:rPr>
        <w:t>xport credit and non-oil export performance</w:t>
      </w:r>
      <w:r w:rsidRPr="00894BCC">
        <w:rPr>
          <w:rFonts w:ascii="Times New Roman" w:hAnsi="Times New Roman" w:cs="Times New Roman"/>
          <w:color w:val="000000"/>
          <w:sz w:val="24"/>
          <w:szCs w:val="24"/>
        </w:rPr>
        <w:t xml:space="preserve">, a co-integration analysis is performed using ARDL bounds test. In the case, the null hypothesis of no co-integration </w:t>
      </w:r>
      <w:r w:rsidRPr="00894BCC">
        <w:rPr>
          <w:rFonts w:ascii="Times New Roman" w:hAnsi="Times New Roman" w:cs="Times New Roman"/>
          <w:position w:val="-12"/>
          <w:sz w:val="24"/>
          <w:szCs w:val="24"/>
        </w:rPr>
        <w:object w:dxaOrig="4120" w:dyaOrig="360">
          <v:shape id="_x0000_i1059" type="#_x0000_t75" style="width:206.25pt;height:18pt" o:ole="">
            <v:imagedata r:id="rId75" o:title=""/>
          </v:shape>
          <o:OLEObject Type="Embed" ProgID="Equation.DSMT4" ShapeID="_x0000_i1059" DrawAspect="Content" ObjectID="_1745818240" r:id="rId76"/>
        </w:object>
      </w:r>
      <w:r w:rsidRPr="00894BCC">
        <w:rPr>
          <w:rFonts w:ascii="Times New Roman" w:hAnsi="Times New Roman" w:cs="Times New Roman"/>
          <w:sz w:val="24"/>
          <w:szCs w:val="24"/>
        </w:rPr>
        <w:t xml:space="preserve"> </w:t>
      </w:r>
      <w:r w:rsidRPr="00894BCC">
        <w:rPr>
          <w:rFonts w:ascii="Times New Roman" w:hAnsi="Times New Roman" w:cs="Times New Roman"/>
          <w:color w:val="000000"/>
          <w:sz w:val="24"/>
          <w:szCs w:val="24"/>
        </w:rPr>
        <w:t xml:space="preserve">is tested. In the models (total non-oil export, and growth rate of total non-oil export and total non-oil export as % of GDP), the results in Table 6 depict that the Wald F-statistic of </w:t>
      </w:r>
      <w:r w:rsidRPr="00894BCC">
        <w:rPr>
          <w:rFonts w:ascii="Times New Roman" w:hAnsi="Times New Roman" w:cs="Times New Roman"/>
          <w:sz w:val="24"/>
          <w:szCs w:val="24"/>
        </w:rPr>
        <w:t xml:space="preserve">3.55 and 3.48 </w:t>
      </w:r>
      <w:r w:rsidRPr="00894BCC">
        <w:rPr>
          <w:rFonts w:ascii="Times New Roman" w:hAnsi="Times New Roman" w:cs="Times New Roman"/>
          <w:color w:val="000000"/>
          <w:sz w:val="24"/>
          <w:szCs w:val="24"/>
        </w:rPr>
        <w:t xml:space="preserve">fall above both the upper and lower critical bounds of 2.218 and 3.314 at 10% level of significance as established by </w:t>
      </w:r>
      <w:proofErr w:type="spellStart"/>
      <w:r w:rsidRPr="00894BCC">
        <w:rPr>
          <w:rFonts w:ascii="Times New Roman" w:hAnsi="Times New Roman" w:cs="Times New Roman"/>
          <w:color w:val="000000"/>
          <w:sz w:val="24"/>
          <w:szCs w:val="24"/>
        </w:rPr>
        <w:t>Pesaran</w:t>
      </w:r>
      <w:proofErr w:type="spellEnd"/>
      <w:r w:rsidRPr="00894BCC">
        <w:rPr>
          <w:rFonts w:ascii="Times New Roman" w:hAnsi="Times New Roman" w:cs="Times New Roman"/>
          <w:color w:val="000000"/>
          <w:sz w:val="24"/>
          <w:szCs w:val="24"/>
        </w:rPr>
        <w:t xml:space="preserve"> </w:t>
      </w:r>
      <w:r w:rsidRPr="00894BCC">
        <w:rPr>
          <w:rFonts w:ascii="Times New Roman" w:hAnsi="Times New Roman" w:cs="Times New Roman"/>
          <w:i/>
          <w:iCs/>
          <w:color w:val="000000"/>
          <w:sz w:val="24"/>
          <w:szCs w:val="24"/>
        </w:rPr>
        <w:t xml:space="preserve">et al. </w:t>
      </w:r>
      <w:r w:rsidRPr="00894BCC">
        <w:rPr>
          <w:rFonts w:ascii="Times New Roman" w:hAnsi="Times New Roman" w:cs="Times New Roman"/>
          <w:color w:val="000000"/>
          <w:sz w:val="24"/>
          <w:szCs w:val="24"/>
        </w:rPr>
        <w:t xml:space="preserve">(2001). Based on this, we reject the null hypothesis and conclude that there is a long-run relationship between the series in these models for the periods under consideration. Similarly, the model for growth rate of total non-oil export shows that the Wald F-statistic of 7.21 falls above both the upper and lower critical bounds of 2.218 and 3.314 at 1% level of significance. However, the Wald F-statistic for total non-oil as % of total export model only falls above the lower critical bound of 2.22 at 10% level of significance. </w:t>
      </w:r>
    </w:p>
    <w:p w:rsidR="00894BCC" w:rsidRDefault="00894BCC" w:rsidP="00894BCC">
      <w:pPr>
        <w:pStyle w:val="T1"/>
        <w:rPr>
          <w:bCs/>
        </w:rPr>
      </w:pPr>
      <w:bookmarkStart w:id="41" w:name="_Toc97822417"/>
      <w:bookmarkStart w:id="42" w:name="_Toc115647340"/>
    </w:p>
    <w:p w:rsidR="00894BCC" w:rsidRDefault="00894BCC" w:rsidP="00894BCC">
      <w:pPr>
        <w:pStyle w:val="T1"/>
        <w:rPr>
          <w:bCs/>
        </w:rPr>
      </w:pPr>
    </w:p>
    <w:p w:rsidR="00894BCC" w:rsidRDefault="00894BCC" w:rsidP="00894BCC">
      <w:pPr>
        <w:pStyle w:val="T1"/>
        <w:rPr>
          <w:bCs/>
        </w:rPr>
      </w:pPr>
    </w:p>
    <w:p w:rsidR="00894BCC" w:rsidRDefault="00894BCC" w:rsidP="00894BCC">
      <w:pPr>
        <w:pStyle w:val="T1"/>
        <w:rPr>
          <w:bCs/>
        </w:rPr>
      </w:pPr>
    </w:p>
    <w:p w:rsidR="00894BCC" w:rsidRPr="00F2002E" w:rsidRDefault="00894BCC" w:rsidP="00894BCC">
      <w:pPr>
        <w:pStyle w:val="T1"/>
        <w:rPr>
          <w:color w:val="000000"/>
        </w:rPr>
      </w:pPr>
      <w:r w:rsidRPr="00F2002E">
        <w:rPr>
          <w:bCs/>
        </w:rPr>
        <w:lastRenderedPageBreak/>
        <w:t xml:space="preserve">Table 6: </w:t>
      </w:r>
      <w:r w:rsidRPr="00F2002E">
        <w:t>ARDL bounds test for co-integration analysis</w:t>
      </w:r>
      <w:bookmarkEnd w:id="41"/>
      <w:bookmarkEnd w:id="42"/>
    </w:p>
    <w:tbl>
      <w:tblPr>
        <w:tblStyle w:val="TableGrid"/>
        <w:tblW w:w="6112" w:type="pct"/>
        <w:jc w:val="center"/>
        <w:tblLook w:val="04A0" w:firstRow="1" w:lastRow="0" w:firstColumn="1" w:lastColumn="0" w:noHBand="0" w:noVBand="1"/>
      </w:tblPr>
      <w:tblGrid>
        <w:gridCol w:w="2037"/>
        <w:gridCol w:w="1216"/>
        <w:gridCol w:w="1047"/>
        <w:gridCol w:w="1243"/>
        <w:gridCol w:w="1047"/>
        <w:gridCol w:w="1047"/>
        <w:gridCol w:w="1360"/>
        <w:gridCol w:w="1205"/>
        <w:gridCol w:w="1227"/>
      </w:tblGrid>
      <w:tr w:rsidR="00894BCC" w:rsidRPr="00894BCC" w:rsidTr="00FE4F82">
        <w:trPr>
          <w:jc w:val="center"/>
        </w:trPr>
        <w:tc>
          <w:tcPr>
            <w:tcW w:w="891" w:type="pct"/>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Dependent variable</w:t>
            </w:r>
          </w:p>
        </w:tc>
        <w:tc>
          <w:tcPr>
            <w:tcW w:w="990" w:type="pct"/>
            <w:gridSpan w:val="2"/>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color w:val="000000"/>
                <w:sz w:val="20"/>
                <w:szCs w:val="20"/>
              </w:rPr>
              <w:t>LTNOE</w:t>
            </w:r>
          </w:p>
        </w:tc>
        <w:tc>
          <w:tcPr>
            <w:tcW w:w="1002" w:type="pct"/>
            <w:gridSpan w:val="2"/>
          </w:tcPr>
          <w:p w:rsidR="00894BCC" w:rsidRPr="00894BCC" w:rsidRDefault="00894BCC" w:rsidP="00FE4F82">
            <w:pPr>
              <w:spacing w:after="0" w:line="240" w:lineRule="auto"/>
              <w:jc w:val="center"/>
              <w:rPr>
                <w:rFonts w:ascii="Times New Roman" w:hAnsi="Times New Roman" w:cs="Times New Roman"/>
                <w:b/>
                <w:sz w:val="20"/>
                <w:szCs w:val="20"/>
              </w:rPr>
            </w:pPr>
            <w:r w:rsidRPr="00894BCC">
              <w:rPr>
                <w:rFonts w:ascii="Times New Roman" w:hAnsi="Times New Roman" w:cs="Times New Roman"/>
                <w:color w:val="000000"/>
                <w:sz w:val="20"/>
                <w:szCs w:val="20"/>
              </w:rPr>
              <w:t>TNOE_GDP</w:t>
            </w:r>
          </w:p>
        </w:tc>
        <w:tc>
          <w:tcPr>
            <w:tcW w:w="1053" w:type="pct"/>
            <w:gridSpan w:val="2"/>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color w:val="000000"/>
                <w:sz w:val="20"/>
                <w:szCs w:val="20"/>
              </w:rPr>
              <w:t>TNOE_TE</w:t>
            </w:r>
          </w:p>
        </w:tc>
        <w:tc>
          <w:tcPr>
            <w:tcW w:w="1064" w:type="pct"/>
            <w:gridSpan w:val="2"/>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color w:val="000000"/>
                <w:sz w:val="20"/>
                <w:szCs w:val="20"/>
              </w:rPr>
              <w:t>GR_TNOE</w:t>
            </w:r>
          </w:p>
        </w:tc>
      </w:tr>
      <w:tr w:rsidR="00894BCC" w:rsidRPr="00894BCC" w:rsidTr="00FE4F82">
        <w:trPr>
          <w:jc w:val="center"/>
        </w:trPr>
        <w:tc>
          <w:tcPr>
            <w:tcW w:w="891" w:type="pct"/>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F-statistic</w:t>
            </w:r>
          </w:p>
        </w:tc>
        <w:tc>
          <w:tcPr>
            <w:tcW w:w="990" w:type="pct"/>
            <w:gridSpan w:val="2"/>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Wald F-statistic: 3.558893; K= 6</w:t>
            </w:r>
          </w:p>
        </w:tc>
        <w:tc>
          <w:tcPr>
            <w:tcW w:w="1002" w:type="pct"/>
            <w:gridSpan w:val="2"/>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 xml:space="preserve">Wald F-statistic: </w:t>
            </w:r>
            <w:r w:rsidRPr="00894BCC">
              <w:rPr>
                <w:rFonts w:ascii="Times New Roman" w:hAnsi="Times New Roman" w:cs="Times New Roman"/>
                <w:color w:val="000000"/>
                <w:sz w:val="20"/>
                <w:szCs w:val="20"/>
              </w:rPr>
              <w:t>3.479502</w:t>
            </w:r>
            <w:r w:rsidRPr="00894BCC">
              <w:rPr>
                <w:rFonts w:ascii="Times New Roman" w:hAnsi="Times New Roman" w:cs="Times New Roman"/>
                <w:sz w:val="20"/>
                <w:szCs w:val="20"/>
              </w:rPr>
              <w:t>; K= 6</w:t>
            </w:r>
          </w:p>
        </w:tc>
        <w:tc>
          <w:tcPr>
            <w:tcW w:w="1053" w:type="pct"/>
            <w:gridSpan w:val="2"/>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Wald F-statistic:</w:t>
            </w:r>
            <w:r w:rsidRPr="00894BCC">
              <w:rPr>
                <w:rFonts w:ascii="Times New Roman" w:hAnsi="Times New Roman" w:cs="Times New Roman"/>
                <w:color w:val="000000"/>
                <w:sz w:val="20"/>
                <w:szCs w:val="20"/>
              </w:rPr>
              <w:t xml:space="preserve"> 2.959946</w:t>
            </w:r>
            <w:r w:rsidRPr="00894BCC">
              <w:rPr>
                <w:rFonts w:ascii="Times New Roman" w:hAnsi="Times New Roman" w:cs="Times New Roman"/>
                <w:sz w:val="20"/>
                <w:szCs w:val="20"/>
              </w:rPr>
              <w:t>; K= 6</w:t>
            </w:r>
          </w:p>
        </w:tc>
        <w:tc>
          <w:tcPr>
            <w:tcW w:w="1064" w:type="pct"/>
            <w:gridSpan w:val="2"/>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 xml:space="preserve">Wald F-statistic: </w:t>
            </w:r>
            <w:r w:rsidRPr="00894BCC">
              <w:rPr>
                <w:rFonts w:ascii="Times New Roman" w:hAnsi="Times New Roman" w:cs="Times New Roman"/>
                <w:color w:val="000000"/>
                <w:sz w:val="20"/>
                <w:szCs w:val="20"/>
              </w:rPr>
              <w:t>7.209290</w:t>
            </w:r>
            <w:r w:rsidRPr="00894BCC">
              <w:rPr>
                <w:rFonts w:ascii="Times New Roman" w:hAnsi="Times New Roman" w:cs="Times New Roman"/>
                <w:sz w:val="20"/>
                <w:szCs w:val="20"/>
              </w:rPr>
              <w:t>; K= 6</w:t>
            </w:r>
          </w:p>
        </w:tc>
      </w:tr>
      <w:tr w:rsidR="00894BCC" w:rsidRPr="00894BCC" w:rsidTr="00FE4F82">
        <w:trPr>
          <w:jc w:val="center"/>
        </w:trPr>
        <w:tc>
          <w:tcPr>
            <w:tcW w:w="891" w:type="pct"/>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Bounds level</w:t>
            </w:r>
          </w:p>
        </w:tc>
        <w:tc>
          <w:tcPr>
            <w:tcW w:w="532" w:type="pct"/>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Lower boundary I(0)</w:t>
            </w:r>
          </w:p>
        </w:tc>
        <w:tc>
          <w:tcPr>
            <w:tcW w:w="458" w:type="pct"/>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Upper boundary I(1)</w:t>
            </w:r>
          </w:p>
        </w:tc>
        <w:tc>
          <w:tcPr>
            <w:tcW w:w="544" w:type="pct"/>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Lower boundary I(0)</w:t>
            </w:r>
          </w:p>
        </w:tc>
        <w:tc>
          <w:tcPr>
            <w:tcW w:w="458" w:type="pct"/>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Upper boundary I(1)</w:t>
            </w:r>
          </w:p>
        </w:tc>
        <w:tc>
          <w:tcPr>
            <w:tcW w:w="458" w:type="pct"/>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Lower boundary I(0)</w:t>
            </w:r>
          </w:p>
        </w:tc>
        <w:tc>
          <w:tcPr>
            <w:tcW w:w="595" w:type="pct"/>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Upper boundary I(1)</w:t>
            </w:r>
          </w:p>
        </w:tc>
        <w:tc>
          <w:tcPr>
            <w:tcW w:w="527" w:type="pct"/>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Lower boundary I(0)</w:t>
            </w:r>
          </w:p>
        </w:tc>
        <w:tc>
          <w:tcPr>
            <w:tcW w:w="537" w:type="pct"/>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Upper boundary I(1)</w:t>
            </w:r>
          </w:p>
        </w:tc>
      </w:tr>
      <w:tr w:rsidR="00894BCC" w:rsidRPr="00894BCC" w:rsidTr="00FE4F82">
        <w:trPr>
          <w:jc w:val="center"/>
        </w:trPr>
        <w:tc>
          <w:tcPr>
            <w:tcW w:w="891" w:type="pct"/>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1% critical bounds value</w:t>
            </w:r>
          </w:p>
        </w:tc>
        <w:tc>
          <w:tcPr>
            <w:tcW w:w="532" w:type="pct"/>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3.505</w:t>
            </w:r>
          </w:p>
        </w:tc>
        <w:tc>
          <w:tcPr>
            <w:tcW w:w="458" w:type="pct"/>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5.121</w:t>
            </w:r>
          </w:p>
        </w:tc>
        <w:tc>
          <w:tcPr>
            <w:tcW w:w="544" w:type="pct"/>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3.505</w:t>
            </w:r>
          </w:p>
        </w:tc>
        <w:tc>
          <w:tcPr>
            <w:tcW w:w="458" w:type="pct"/>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5.121</w:t>
            </w:r>
          </w:p>
        </w:tc>
        <w:tc>
          <w:tcPr>
            <w:tcW w:w="458" w:type="pct"/>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3.505</w:t>
            </w:r>
          </w:p>
        </w:tc>
        <w:tc>
          <w:tcPr>
            <w:tcW w:w="595" w:type="pct"/>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5.121</w:t>
            </w:r>
          </w:p>
        </w:tc>
        <w:tc>
          <w:tcPr>
            <w:tcW w:w="527" w:type="pct"/>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3.505</w:t>
            </w:r>
          </w:p>
        </w:tc>
        <w:tc>
          <w:tcPr>
            <w:tcW w:w="537" w:type="pct"/>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5.121</w:t>
            </w:r>
          </w:p>
        </w:tc>
      </w:tr>
      <w:tr w:rsidR="00894BCC" w:rsidRPr="00894BCC" w:rsidTr="00FE4F82">
        <w:trPr>
          <w:jc w:val="center"/>
        </w:trPr>
        <w:tc>
          <w:tcPr>
            <w:tcW w:w="891" w:type="pct"/>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5% critical bounds value</w:t>
            </w:r>
          </w:p>
        </w:tc>
        <w:tc>
          <w:tcPr>
            <w:tcW w:w="532" w:type="pct"/>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2.618</w:t>
            </w:r>
          </w:p>
        </w:tc>
        <w:tc>
          <w:tcPr>
            <w:tcW w:w="458" w:type="pct"/>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3.863</w:t>
            </w:r>
          </w:p>
        </w:tc>
        <w:tc>
          <w:tcPr>
            <w:tcW w:w="544" w:type="pct"/>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2.618</w:t>
            </w:r>
          </w:p>
        </w:tc>
        <w:tc>
          <w:tcPr>
            <w:tcW w:w="458" w:type="pct"/>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3.863</w:t>
            </w:r>
          </w:p>
        </w:tc>
        <w:tc>
          <w:tcPr>
            <w:tcW w:w="458" w:type="pct"/>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2.618</w:t>
            </w:r>
          </w:p>
        </w:tc>
        <w:tc>
          <w:tcPr>
            <w:tcW w:w="595" w:type="pct"/>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3.863</w:t>
            </w:r>
          </w:p>
        </w:tc>
        <w:tc>
          <w:tcPr>
            <w:tcW w:w="527" w:type="pct"/>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2.618</w:t>
            </w:r>
          </w:p>
        </w:tc>
        <w:tc>
          <w:tcPr>
            <w:tcW w:w="537" w:type="pct"/>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3.863</w:t>
            </w:r>
          </w:p>
        </w:tc>
      </w:tr>
      <w:tr w:rsidR="00894BCC" w:rsidRPr="00894BCC" w:rsidTr="00FE4F82">
        <w:trPr>
          <w:jc w:val="center"/>
        </w:trPr>
        <w:tc>
          <w:tcPr>
            <w:tcW w:w="891" w:type="pct"/>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10% critical bounds value</w:t>
            </w:r>
          </w:p>
        </w:tc>
        <w:tc>
          <w:tcPr>
            <w:tcW w:w="532" w:type="pct"/>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2.218</w:t>
            </w:r>
          </w:p>
        </w:tc>
        <w:tc>
          <w:tcPr>
            <w:tcW w:w="458" w:type="pct"/>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3.314</w:t>
            </w:r>
          </w:p>
        </w:tc>
        <w:tc>
          <w:tcPr>
            <w:tcW w:w="544" w:type="pct"/>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2.218</w:t>
            </w:r>
          </w:p>
        </w:tc>
        <w:tc>
          <w:tcPr>
            <w:tcW w:w="458" w:type="pct"/>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3.314</w:t>
            </w:r>
          </w:p>
        </w:tc>
        <w:tc>
          <w:tcPr>
            <w:tcW w:w="458" w:type="pct"/>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2.218</w:t>
            </w:r>
          </w:p>
        </w:tc>
        <w:tc>
          <w:tcPr>
            <w:tcW w:w="595" w:type="pct"/>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3.314</w:t>
            </w:r>
          </w:p>
        </w:tc>
        <w:tc>
          <w:tcPr>
            <w:tcW w:w="527" w:type="pct"/>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2.218</w:t>
            </w:r>
          </w:p>
        </w:tc>
        <w:tc>
          <w:tcPr>
            <w:tcW w:w="537" w:type="pct"/>
          </w:tcPr>
          <w:p w:rsidR="00894BCC" w:rsidRPr="00894BCC" w:rsidRDefault="00894BCC" w:rsidP="00FE4F82">
            <w:pPr>
              <w:spacing w:after="0" w:line="240" w:lineRule="auto"/>
              <w:jc w:val="center"/>
              <w:rPr>
                <w:rFonts w:ascii="Times New Roman" w:hAnsi="Times New Roman" w:cs="Times New Roman"/>
                <w:sz w:val="20"/>
                <w:szCs w:val="20"/>
              </w:rPr>
            </w:pPr>
            <w:r w:rsidRPr="00894BCC">
              <w:rPr>
                <w:rFonts w:ascii="Times New Roman" w:hAnsi="Times New Roman" w:cs="Times New Roman"/>
                <w:sz w:val="20"/>
                <w:szCs w:val="20"/>
              </w:rPr>
              <w:t>3.314</w:t>
            </w:r>
          </w:p>
        </w:tc>
      </w:tr>
    </w:tbl>
    <w:p w:rsidR="00894BCC" w:rsidRDefault="00894BCC" w:rsidP="00894BCC">
      <w:pPr>
        <w:rPr>
          <w:rFonts w:ascii="Times New Roman" w:hAnsi="Times New Roman"/>
        </w:rPr>
      </w:pPr>
      <w:r w:rsidRPr="00784FDB">
        <w:rPr>
          <w:rFonts w:ascii="Times New Roman" w:hAnsi="Times New Roman"/>
        </w:rPr>
        <w:t>Source: Computed</w:t>
      </w:r>
      <w:r>
        <w:rPr>
          <w:rFonts w:ascii="Times New Roman" w:hAnsi="Times New Roman"/>
        </w:rPr>
        <w:t>.</w:t>
      </w:r>
    </w:p>
    <w:p w:rsidR="00894BCC" w:rsidRPr="00894BCC" w:rsidRDefault="00894BCC" w:rsidP="00894BCC">
      <w:pPr>
        <w:jc w:val="both"/>
        <w:rPr>
          <w:rFonts w:ascii="Times New Roman" w:hAnsi="Times New Roman"/>
          <w:sz w:val="24"/>
          <w:szCs w:val="24"/>
        </w:rPr>
      </w:pPr>
      <w:r w:rsidRPr="00894BCC">
        <w:rPr>
          <w:rFonts w:ascii="Times New Roman" w:hAnsi="Times New Roman"/>
          <w:sz w:val="24"/>
          <w:szCs w:val="24"/>
        </w:rPr>
        <w:t xml:space="preserve">Table 7 presents the results of the baseline model adopted. </w:t>
      </w:r>
      <w:r w:rsidRPr="00894BCC">
        <w:rPr>
          <w:rFonts w:ascii="Times New Roman" w:hAnsi="Times New Roman" w:cs="Times New Roman"/>
          <w:sz w:val="24"/>
          <w:szCs w:val="24"/>
        </w:rPr>
        <w:t xml:space="preserve">The estimated results reveal that only the lag value of total non-oil export in period one </w:t>
      </w:r>
      <w:proofErr w:type="gramStart"/>
      <w:r w:rsidRPr="00894BCC">
        <w:rPr>
          <w:rFonts w:ascii="Times New Roman" w:hAnsi="Times New Roman" w:cs="Times New Roman"/>
          <w:color w:val="000000"/>
          <w:sz w:val="24"/>
          <w:szCs w:val="24"/>
        </w:rPr>
        <w:t>D(</w:t>
      </w:r>
      <w:proofErr w:type="gramEnd"/>
      <w:r w:rsidRPr="00894BCC">
        <w:rPr>
          <w:rFonts w:ascii="Times New Roman" w:hAnsi="Times New Roman" w:cs="Times New Roman"/>
          <w:color w:val="000000"/>
          <w:sz w:val="24"/>
          <w:szCs w:val="24"/>
        </w:rPr>
        <w:t xml:space="preserve">LTNOE(-1)) </w:t>
      </w:r>
      <w:r w:rsidRPr="00894BCC">
        <w:rPr>
          <w:rFonts w:ascii="Times New Roman" w:hAnsi="Times New Roman" w:cs="Times New Roman"/>
          <w:sz w:val="24"/>
          <w:szCs w:val="24"/>
        </w:rPr>
        <w:t xml:space="preserve">and interest rate are statistically significant in the model. The former has significant positive impact while the latter revealed to have significant negative impact and the two variables are consistent with their expected signs.  </w:t>
      </w:r>
    </w:p>
    <w:p w:rsidR="00C11B0D" w:rsidRPr="00156B48" w:rsidRDefault="00C11B0D" w:rsidP="00C11B0D">
      <w:pPr>
        <w:pStyle w:val="T1"/>
        <w:jc w:val="center"/>
        <w:rPr>
          <w:b w:val="0"/>
        </w:rPr>
      </w:pPr>
      <w:bookmarkStart w:id="43" w:name="_Toc115647341"/>
      <w:r w:rsidRPr="00156B48">
        <w:t>Table 7: ARDL Baseline Model Adopted for examining the contributions of Nigerian banks in</w:t>
      </w:r>
      <w:r>
        <w:t xml:space="preserve"> </w:t>
      </w:r>
      <w:r w:rsidRPr="000D255C">
        <w:rPr>
          <w:bCs/>
        </w:rPr>
        <w:t>promoting non-oil exports</w:t>
      </w:r>
      <w:bookmarkEnd w:id="43"/>
    </w:p>
    <w:tbl>
      <w:tblPr>
        <w:tblStyle w:val="TableGrid"/>
        <w:tblW w:w="0" w:type="auto"/>
        <w:tblLook w:val="04A0" w:firstRow="1" w:lastRow="0" w:firstColumn="1" w:lastColumn="0" w:noHBand="0" w:noVBand="1"/>
      </w:tblPr>
      <w:tblGrid>
        <w:gridCol w:w="1870"/>
        <w:gridCol w:w="1870"/>
        <w:gridCol w:w="1870"/>
        <w:gridCol w:w="1870"/>
        <w:gridCol w:w="1870"/>
      </w:tblGrid>
      <w:tr w:rsidR="00C11B0D" w:rsidRPr="00C11B0D" w:rsidTr="00FE4F82">
        <w:tc>
          <w:tcPr>
            <w:tcW w:w="1811" w:type="dxa"/>
          </w:tcPr>
          <w:p w:rsidR="00C11B0D" w:rsidRPr="00C11B0D" w:rsidRDefault="00C11B0D" w:rsidP="00FE4F82">
            <w:pPr>
              <w:autoSpaceDE w:val="0"/>
              <w:autoSpaceDN w:val="0"/>
              <w:adjustRightInd w:val="0"/>
              <w:spacing w:after="0" w:line="240" w:lineRule="auto"/>
              <w:jc w:val="center"/>
              <w:rPr>
                <w:rFonts w:ascii="Times New Roman" w:hAnsi="Times New Roman" w:cs="Times New Roman"/>
                <w:sz w:val="20"/>
                <w:szCs w:val="20"/>
              </w:rPr>
            </w:pPr>
            <w:r w:rsidRPr="00C11B0D">
              <w:rPr>
                <w:rFonts w:ascii="Times New Roman" w:hAnsi="Times New Roman" w:cs="Times New Roman"/>
                <w:bCs/>
                <w:sz w:val="20"/>
                <w:szCs w:val="20"/>
              </w:rPr>
              <w:t>Variable</w:t>
            </w:r>
          </w:p>
        </w:tc>
        <w:tc>
          <w:tcPr>
            <w:tcW w:w="1821" w:type="dxa"/>
          </w:tcPr>
          <w:p w:rsidR="00C11B0D" w:rsidRPr="00C11B0D" w:rsidRDefault="00C11B0D" w:rsidP="00FE4F82">
            <w:pPr>
              <w:autoSpaceDE w:val="0"/>
              <w:autoSpaceDN w:val="0"/>
              <w:adjustRightInd w:val="0"/>
              <w:spacing w:after="0" w:line="240" w:lineRule="auto"/>
              <w:jc w:val="center"/>
              <w:rPr>
                <w:rFonts w:ascii="Times New Roman" w:hAnsi="Times New Roman" w:cs="Times New Roman"/>
                <w:sz w:val="20"/>
                <w:szCs w:val="20"/>
              </w:rPr>
            </w:pPr>
            <w:r w:rsidRPr="00C11B0D">
              <w:rPr>
                <w:rFonts w:ascii="Times New Roman" w:hAnsi="Times New Roman" w:cs="Times New Roman"/>
                <w:bCs/>
                <w:sz w:val="20"/>
                <w:szCs w:val="20"/>
              </w:rPr>
              <w:t>Coefficient</w:t>
            </w:r>
          </w:p>
        </w:tc>
        <w:tc>
          <w:tcPr>
            <w:tcW w:w="1792" w:type="dxa"/>
          </w:tcPr>
          <w:p w:rsidR="00C11B0D" w:rsidRPr="00C11B0D" w:rsidRDefault="00C11B0D" w:rsidP="00FE4F82">
            <w:pPr>
              <w:autoSpaceDE w:val="0"/>
              <w:autoSpaceDN w:val="0"/>
              <w:adjustRightInd w:val="0"/>
              <w:spacing w:after="0" w:line="240" w:lineRule="auto"/>
              <w:jc w:val="center"/>
              <w:rPr>
                <w:rFonts w:ascii="Times New Roman" w:hAnsi="Times New Roman" w:cs="Times New Roman"/>
                <w:sz w:val="20"/>
                <w:szCs w:val="20"/>
              </w:rPr>
            </w:pPr>
            <w:r w:rsidRPr="00C11B0D">
              <w:rPr>
                <w:rFonts w:ascii="Times New Roman" w:hAnsi="Times New Roman" w:cs="Times New Roman"/>
                <w:bCs/>
                <w:sz w:val="20"/>
                <w:szCs w:val="20"/>
              </w:rPr>
              <w:t>Std. error</w:t>
            </w:r>
          </w:p>
        </w:tc>
        <w:tc>
          <w:tcPr>
            <w:tcW w:w="1800" w:type="dxa"/>
          </w:tcPr>
          <w:p w:rsidR="00C11B0D" w:rsidRPr="00C11B0D" w:rsidRDefault="00C11B0D" w:rsidP="00FE4F82">
            <w:pPr>
              <w:autoSpaceDE w:val="0"/>
              <w:autoSpaceDN w:val="0"/>
              <w:adjustRightInd w:val="0"/>
              <w:spacing w:after="0" w:line="240" w:lineRule="auto"/>
              <w:jc w:val="center"/>
              <w:rPr>
                <w:rFonts w:ascii="Times New Roman" w:hAnsi="Times New Roman" w:cs="Times New Roman"/>
                <w:sz w:val="20"/>
                <w:szCs w:val="20"/>
              </w:rPr>
            </w:pPr>
            <w:r w:rsidRPr="00C11B0D">
              <w:rPr>
                <w:rFonts w:ascii="Times New Roman" w:hAnsi="Times New Roman" w:cs="Times New Roman"/>
                <w:bCs/>
                <w:sz w:val="20"/>
                <w:szCs w:val="20"/>
              </w:rPr>
              <w:t>t-Statistic</w:t>
            </w:r>
          </w:p>
        </w:tc>
        <w:tc>
          <w:tcPr>
            <w:tcW w:w="1792" w:type="dxa"/>
          </w:tcPr>
          <w:p w:rsidR="00C11B0D" w:rsidRPr="00C11B0D" w:rsidRDefault="00C11B0D" w:rsidP="00FE4F82">
            <w:pPr>
              <w:autoSpaceDE w:val="0"/>
              <w:autoSpaceDN w:val="0"/>
              <w:adjustRightInd w:val="0"/>
              <w:spacing w:after="0" w:line="240" w:lineRule="auto"/>
              <w:jc w:val="center"/>
              <w:rPr>
                <w:rFonts w:ascii="Times New Roman" w:hAnsi="Times New Roman" w:cs="Times New Roman"/>
                <w:sz w:val="20"/>
                <w:szCs w:val="20"/>
              </w:rPr>
            </w:pPr>
            <w:r w:rsidRPr="00C11B0D">
              <w:rPr>
                <w:rFonts w:ascii="Times New Roman" w:hAnsi="Times New Roman" w:cs="Times New Roman"/>
                <w:bCs/>
                <w:sz w:val="20"/>
                <w:szCs w:val="20"/>
              </w:rPr>
              <w:t>Prob.</w:t>
            </w:r>
          </w:p>
        </w:tc>
      </w:tr>
      <w:tr w:rsidR="00C11B0D" w:rsidRPr="00C11B0D" w:rsidTr="00FE4F82">
        <w:tc>
          <w:tcPr>
            <w:tcW w:w="1870" w:type="dxa"/>
          </w:tcPr>
          <w:p w:rsidR="00C11B0D" w:rsidRPr="00C11B0D" w:rsidRDefault="00C11B0D" w:rsidP="00FE4F82">
            <w:pPr>
              <w:autoSpaceDE w:val="0"/>
              <w:autoSpaceDN w:val="0"/>
              <w:adjustRightInd w:val="0"/>
              <w:spacing w:after="0" w:line="240" w:lineRule="auto"/>
              <w:jc w:val="center"/>
              <w:rPr>
                <w:rFonts w:ascii="Times New Roman" w:hAnsi="Times New Roman" w:cs="Times New Roman"/>
                <w:sz w:val="20"/>
                <w:szCs w:val="20"/>
              </w:rPr>
            </w:pPr>
            <w:r w:rsidRPr="00C11B0D">
              <w:rPr>
                <w:rFonts w:ascii="Times New Roman" w:hAnsi="Times New Roman" w:cs="Times New Roman"/>
                <w:color w:val="000000"/>
                <w:sz w:val="20"/>
                <w:szCs w:val="20"/>
              </w:rPr>
              <w:t>C</w:t>
            </w:r>
          </w:p>
        </w:tc>
        <w:tc>
          <w:tcPr>
            <w:tcW w:w="1870" w:type="dxa"/>
          </w:tcPr>
          <w:p w:rsidR="00C11B0D" w:rsidRPr="00C11B0D" w:rsidRDefault="00C11B0D" w:rsidP="00FE4F82">
            <w:pPr>
              <w:autoSpaceDE w:val="0"/>
              <w:autoSpaceDN w:val="0"/>
              <w:adjustRightInd w:val="0"/>
              <w:spacing w:after="0" w:line="240" w:lineRule="auto"/>
              <w:jc w:val="center"/>
              <w:rPr>
                <w:rFonts w:ascii="Times New Roman" w:hAnsi="Times New Roman" w:cs="Times New Roman"/>
                <w:sz w:val="20"/>
                <w:szCs w:val="20"/>
              </w:rPr>
            </w:pPr>
            <w:r w:rsidRPr="00C11B0D">
              <w:rPr>
                <w:rFonts w:ascii="Times New Roman" w:hAnsi="Times New Roman" w:cs="Times New Roman"/>
                <w:color w:val="000000"/>
                <w:sz w:val="20"/>
                <w:szCs w:val="20"/>
              </w:rPr>
              <w:t>0.7426</w:t>
            </w:r>
          </w:p>
        </w:tc>
        <w:tc>
          <w:tcPr>
            <w:tcW w:w="1870" w:type="dxa"/>
          </w:tcPr>
          <w:p w:rsidR="00C11B0D" w:rsidRPr="00C11B0D" w:rsidRDefault="00C11B0D" w:rsidP="00FE4F82">
            <w:pPr>
              <w:autoSpaceDE w:val="0"/>
              <w:autoSpaceDN w:val="0"/>
              <w:adjustRightInd w:val="0"/>
              <w:spacing w:after="0" w:line="240" w:lineRule="auto"/>
              <w:jc w:val="center"/>
              <w:rPr>
                <w:rFonts w:ascii="Times New Roman" w:hAnsi="Times New Roman" w:cs="Times New Roman"/>
                <w:sz w:val="20"/>
                <w:szCs w:val="20"/>
              </w:rPr>
            </w:pPr>
            <w:r w:rsidRPr="00C11B0D">
              <w:rPr>
                <w:rFonts w:ascii="Times New Roman" w:hAnsi="Times New Roman" w:cs="Times New Roman"/>
                <w:color w:val="000000"/>
                <w:sz w:val="20"/>
                <w:szCs w:val="20"/>
              </w:rPr>
              <w:t>0.3204</w:t>
            </w:r>
          </w:p>
        </w:tc>
        <w:tc>
          <w:tcPr>
            <w:tcW w:w="1870" w:type="dxa"/>
          </w:tcPr>
          <w:p w:rsidR="00C11B0D" w:rsidRPr="00C11B0D" w:rsidRDefault="00C11B0D" w:rsidP="00FE4F82">
            <w:pPr>
              <w:autoSpaceDE w:val="0"/>
              <w:autoSpaceDN w:val="0"/>
              <w:adjustRightInd w:val="0"/>
              <w:spacing w:after="0" w:line="240" w:lineRule="auto"/>
              <w:jc w:val="center"/>
              <w:rPr>
                <w:rFonts w:ascii="Times New Roman" w:hAnsi="Times New Roman" w:cs="Times New Roman"/>
                <w:sz w:val="20"/>
                <w:szCs w:val="20"/>
              </w:rPr>
            </w:pPr>
            <w:r w:rsidRPr="00C11B0D">
              <w:rPr>
                <w:rFonts w:ascii="Times New Roman" w:hAnsi="Times New Roman" w:cs="Times New Roman"/>
                <w:color w:val="000000"/>
                <w:sz w:val="20"/>
                <w:szCs w:val="20"/>
              </w:rPr>
              <w:t>2.3177</w:t>
            </w:r>
          </w:p>
        </w:tc>
        <w:tc>
          <w:tcPr>
            <w:tcW w:w="1870" w:type="dxa"/>
          </w:tcPr>
          <w:p w:rsidR="00C11B0D" w:rsidRPr="00C11B0D" w:rsidRDefault="00C11B0D" w:rsidP="00FE4F82">
            <w:pPr>
              <w:autoSpaceDE w:val="0"/>
              <w:autoSpaceDN w:val="0"/>
              <w:adjustRightInd w:val="0"/>
              <w:spacing w:after="0" w:line="240" w:lineRule="auto"/>
              <w:jc w:val="center"/>
              <w:rPr>
                <w:rFonts w:ascii="Times New Roman" w:hAnsi="Times New Roman" w:cs="Times New Roman"/>
                <w:sz w:val="20"/>
                <w:szCs w:val="20"/>
              </w:rPr>
            </w:pPr>
            <w:r w:rsidRPr="00C11B0D">
              <w:rPr>
                <w:rFonts w:ascii="Times New Roman" w:hAnsi="Times New Roman" w:cs="Times New Roman"/>
                <w:color w:val="000000"/>
                <w:sz w:val="20"/>
                <w:szCs w:val="20"/>
              </w:rPr>
              <w:t>0.0277</w:t>
            </w:r>
          </w:p>
        </w:tc>
      </w:tr>
      <w:tr w:rsidR="00C11B0D" w:rsidRPr="00C11B0D" w:rsidTr="00FE4F82">
        <w:tc>
          <w:tcPr>
            <w:tcW w:w="1870" w:type="dxa"/>
          </w:tcPr>
          <w:p w:rsidR="00C11B0D" w:rsidRPr="00C11B0D" w:rsidRDefault="00C11B0D" w:rsidP="00FE4F82">
            <w:pPr>
              <w:autoSpaceDE w:val="0"/>
              <w:autoSpaceDN w:val="0"/>
              <w:adjustRightInd w:val="0"/>
              <w:spacing w:after="0" w:line="240" w:lineRule="auto"/>
              <w:jc w:val="center"/>
              <w:rPr>
                <w:rFonts w:ascii="Times New Roman" w:hAnsi="Times New Roman" w:cs="Times New Roman"/>
                <w:sz w:val="20"/>
                <w:szCs w:val="20"/>
              </w:rPr>
            </w:pPr>
            <w:r w:rsidRPr="00C11B0D">
              <w:rPr>
                <w:rFonts w:ascii="Times New Roman" w:hAnsi="Times New Roman" w:cs="Times New Roman"/>
                <w:color w:val="000000"/>
                <w:sz w:val="20"/>
                <w:szCs w:val="20"/>
              </w:rPr>
              <w:t>LTNOE(-1)</w:t>
            </w:r>
          </w:p>
        </w:tc>
        <w:tc>
          <w:tcPr>
            <w:tcW w:w="1870" w:type="dxa"/>
          </w:tcPr>
          <w:p w:rsidR="00C11B0D" w:rsidRPr="00C11B0D" w:rsidRDefault="00C11B0D" w:rsidP="00FE4F82">
            <w:pPr>
              <w:autoSpaceDE w:val="0"/>
              <w:autoSpaceDN w:val="0"/>
              <w:adjustRightInd w:val="0"/>
              <w:spacing w:after="0" w:line="240" w:lineRule="auto"/>
              <w:jc w:val="center"/>
              <w:rPr>
                <w:rFonts w:ascii="Times New Roman" w:hAnsi="Times New Roman" w:cs="Times New Roman"/>
                <w:sz w:val="20"/>
                <w:szCs w:val="20"/>
              </w:rPr>
            </w:pPr>
            <w:r w:rsidRPr="00C11B0D">
              <w:rPr>
                <w:rFonts w:ascii="Times New Roman" w:hAnsi="Times New Roman" w:cs="Times New Roman"/>
                <w:color w:val="000000"/>
                <w:sz w:val="20"/>
                <w:szCs w:val="20"/>
              </w:rPr>
              <w:t>0.6704</w:t>
            </w:r>
          </w:p>
        </w:tc>
        <w:tc>
          <w:tcPr>
            <w:tcW w:w="1870" w:type="dxa"/>
          </w:tcPr>
          <w:p w:rsidR="00C11B0D" w:rsidRPr="00C11B0D" w:rsidRDefault="00C11B0D" w:rsidP="00FE4F82">
            <w:pPr>
              <w:autoSpaceDE w:val="0"/>
              <w:autoSpaceDN w:val="0"/>
              <w:adjustRightInd w:val="0"/>
              <w:spacing w:after="0" w:line="240" w:lineRule="auto"/>
              <w:jc w:val="center"/>
              <w:rPr>
                <w:rFonts w:ascii="Times New Roman" w:hAnsi="Times New Roman" w:cs="Times New Roman"/>
                <w:sz w:val="20"/>
                <w:szCs w:val="20"/>
              </w:rPr>
            </w:pPr>
            <w:r w:rsidRPr="00C11B0D">
              <w:rPr>
                <w:rFonts w:ascii="Times New Roman" w:hAnsi="Times New Roman" w:cs="Times New Roman"/>
                <w:color w:val="000000"/>
                <w:sz w:val="20"/>
                <w:szCs w:val="20"/>
              </w:rPr>
              <w:t>0.1706</w:t>
            </w:r>
          </w:p>
        </w:tc>
        <w:tc>
          <w:tcPr>
            <w:tcW w:w="1870" w:type="dxa"/>
          </w:tcPr>
          <w:p w:rsidR="00C11B0D" w:rsidRPr="00C11B0D" w:rsidRDefault="00C11B0D" w:rsidP="00FE4F82">
            <w:pPr>
              <w:autoSpaceDE w:val="0"/>
              <w:autoSpaceDN w:val="0"/>
              <w:adjustRightInd w:val="0"/>
              <w:spacing w:after="0" w:line="240" w:lineRule="auto"/>
              <w:jc w:val="center"/>
              <w:rPr>
                <w:rFonts w:ascii="Times New Roman" w:hAnsi="Times New Roman" w:cs="Times New Roman"/>
                <w:sz w:val="20"/>
                <w:szCs w:val="20"/>
              </w:rPr>
            </w:pPr>
            <w:r w:rsidRPr="00C11B0D">
              <w:rPr>
                <w:rFonts w:ascii="Times New Roman" w:hAnsi="Times New Roman" w:cs="Times New Roman"/>
                <w:color w:val="000000"/>
                <w:sz w:val="20"/>
                <w:szCs w:val="20"/>
              </w:rPr>
              <w:t>3.9283</w:t>
            </w:r>
          </w:p>
        </w:tc>
        <w:tc>
          <w:tcPr>
            <w:tcW w:w="1870" w:type="dxa"/>
          </w:tcPr>
          <w:p w:rsidR="00C11B0D" w:rsidRPr="00C11B0D" w:rsidRDefault="00C11B0D" w:rsidP="00FE4F82">
            <w:pPr>
              <w:autoSpaceDE w:val="0"/>
              <w:autoSpaceDN w:val="0"/>
              <w:adjustRightInd w:val="0"/>
              <w:spacing w:after="0" w:line="240" w:lineRule="auto"/>
              <w:jc w:val="center"/>
              <w:rPr>
                <w:rFonts w:ascii="Times New Roman" w:hAnsi="Times New Roman" w:cs="Times New Roman"/>
                <w:sz w:val="20"/>
                <w:szCs w:val="20"/>
              </w:rPr>
            </w:pPr>
            <w:r w:rsidRPr="00C11B0D">
              <w:rPr>
                <w:rFonts w:ascii="Times New Roman" w:hAnsi="Times New Roman" w:cs="Times New Roman"/>
                <w:color w:val="000000"/>
                <w:sz w:val="20"/>
                <w:szCs w:val="20"/>
              </w:rPr>
              <w:t>0.0005</w:t>
            </w:r>
          </w:p>
        </w:tc>
      </w:tr>
      <w:tr w:rsidR="00C11B0D" w:rsidRPr="00C11B0D" w:rsidTr="00FE4F82">
        <w:tc>
          <w:tcPr>
            <w:tcW w:w="1870" w:type="dxa"/>
          </w:tcPr>
          <w:p w:rsidR="00C11B0D" w:rsidRPr="00C11B0D" w:rsidRDefault="00C11B0D" w:rsidP="00FE4F82">
            <w:pPr>
              <w:autoSpaceDE w:val="0"/>
              <w:autoSpaceDN w:val="0"/>
              <w:adjustRightInd w:val="0"/>
              <w:spacing w:after="0" w:line="240" w:lineRule="auto"/>
              <w:jc w:val="center"/>
              <w:rPr>
                <w:rFonts w:ascii="Times New Roman" w:hAnsi="Times New Roman" w:cs="Times New Roman"/>
                <w:sz w:val="20"/>
                <w:szCs w:val="20"/>
              </w:rPr>
            </w:pPr>
            <w:r w:rsidRPr="00C11B0D">
              <w:rPr>
                <w:rFonts w:ascii="Times New Roman" w:hAnsi="Times New Roman" w:cs="Times New Roman"/>
                <w:color w:val="000000"/>
                <w:sz w:val="20"/>
                <w:szCs w:val="20"/>
              </w:rPr>
              <w:t>LTNOE(-2)</w:t>
            </w:r>
          </w:p>
        </w:tc>
        <w:tc>
          <w:tcPr>
            <w:tcW w:w="1870" w:type="dxa"/>
          </w:tcPr>
          <w:p w:rsidR="00C11B0D" w:rsidRPr="00C11B0D" w:rsidRDefault="00C11B0D" w:rsidP="00FE4F82">
            <w:pPr>
              <w:autoSpaceDE w:val="0"/>
              <w:autoSpaceDN w:val="0"/>
              <w:adjustRightInd w:val="0"/>
              <w:spacing w:after="0" w:line="240" w:lineRule="auto"/>
              <w:jc w:val="center"/>
              <w:rPr>
                <w:rFonts w:ascii="Times New Roman" w:hAnsi="Times New Roman" w:cs="Times New Roman"/>
                <w:sz w:val="20"/>
                <w:szCs w:val="20"/>
              </w:rPr>
            </w:pPr>
            <w:r w:rsidRPr="00C11B0D">
              <w:rPr>
                <w:rFonts w:ascii="Times New Roman" w:hAnsi="Times New Roman" w:cs="Times New Roman"/>
                <w:color w:val="000000"/>
                <w:sz w:val="20"/>
                <w:szCs w:val="20"/>
              </w:rPr>
              <w:t>0.2372</w:t>
            </w:r>
          </w:p>
        </w:tc>
        <w:tc>
          <w:tcPr>
            <w:tcW w:w="1870" w:type="dxa"/>
          </w:tcPr>
          <w:p w:rsidR="00C11B0D" w:rsidRPr="00C11B0D" w:rsidRDefault="00C11B0D" w:rsidP="00FE4F82">
            <w:pPr>
              <w:autoSpaceDE w:val="0"/>
              <w:autoSpaceDN w:val="0"/>
              <w:adjustRightInd w:val="0"/>
              <w:spacing w:after="0" w:line="240" w:lineRule="auto"/>
              <w:jc w:val="center"/>
              <w:rPr>
                <w:rFonts w:ascii="Times New Roman" w:hAnsi="Times New Roman" w:cs="Times New Roman"/>
                <w:sz w:val="20"/>
                <w:szCs w:val="20"/>
              </w:rPr>
            </w:pPr>
            <w:r w:rsidRPr="00C11B0D">
              <w:rPr>
                <w:rFonts w:ascii="Times New Roman" w:hAnsi="Times New Roman" w:cs="Times New Roman"/>
                <w:color w:val="000000"/>
                <w:sz w:val="20"/>
                <w:szCs w:val="20"/>
              </w:rPr>
              <w:t>0.2078</w:t>
            </w:r>
          </w:p>
        </w:tc>
        <w:tc>
          <w:tcPr>
            <w:tcW w:w="1870" w:type="dxa"/>
          </w:tcPr>
          <w:p w:rsidR="00C11B0D" w:rsidRPr="00C11B0D" w:rsidRDefault="00C11B0D" w:rsidP="00FE4F82">
            <w:pPr>
              <w:autoSpaceDE w:val="0"/>
              <w:autoSpaceDN w:val="0"/>
              <w:adjustRightInd w:val="0"/>
              <w:spacing w:after="0" w:line="240" w:lineRule="auto"/>
              <w:jc w:val="center"/>
              <w:rPr>
                <w:rFonts w:ascii="Times New Roman" w:hAnsi="Times New Roman" w:cs="Times New Roman"/>
                <w:sz w:val="20"/>
                <w:szCs w:val="20"/>
              </w:rPr>
            </w:pPr>
            <w:r w:rsidRPr="00C11B0D">
              <w:rPr>
                <w:rFonts w:ascii="Times New Roman" w:hAnsi="Times New Roman" w:cs="Times New Roman"/>
                <w:color w:val="000000"/>
                <w:sz w:val="20"/>
                <w:szCs w:val="20"/>
              </w:rPr>
              <w:t>1.1416</w:t>
            </w:r>
          </w:p>
        </w:tc>
        <w:tc>
          <w:tcPr>
            <w:tcW w:w="1870" w:type="dxa"/>
          </w:tcPr>
          <w:p w:rsidR="00C11B0D" w:rsidRPr="00C11B0D" w:rsidRDefault="00C11B0D" w:rsidP="00FE4F82">
            <w:pPr>
              <w:autoSpaceDE w:val="0"/>
              <w:autoSpaceDN w:val="0"/>
              <w:adjustRightInd w:val="0"/>
              <w:spacing w:after="0" w:line="240" w:lineRule="auto"/>
              <w:jc w:val="center"/>
              <w:rPr>
                <w:rFonts w:ascii="Times New Roman" w:hAnsi="Times New Roman" w:cs="Times New Roman"/>
                <w:sz w:val="20"/>
                <w:szCs w:val="20"/>
              </w:rPr>
            </w:pPr>
            <w:r w:rsidRPr="00C11B0D">
              <w:rPr>
                <w:rFonts w:ascii="Times New Roman" w:hAnsi="Times New Roman" w:cs="Times New Roman"/>
                <w:color w:val="000000"/>
                <w:sz w:val="20"/>
                <w:szCs w:val="20"/>
              </w:rPr>
              <w:t>0.2629</w:t>
            </w:r>
          </w:p>
        </w:tc>
      </w:tr>
      <w:tr w:rsidR="00C11B0D" w:rsidRPr="00C11B0D" w:rsidTr="00FE4F82">
        <w:tc>
          <w:tcPr>
            <w:tcW w:w="1870" w:type="dxa"/>
          </w:tcPr>
          <w:p w:rsidR="00C11B0D" w:rsidRPr="00C11B0D" w:rsidRDefault="00C11B0D" w:rsidP="00FE4F82">
            <w:pPr>
              <w:autoSpaceDE w:val="0"/>
              <w:autoSpaceDN w:val="0"/>
              <w:adjustRightInd w:val="0"/>
              <w:spacing w:after="0" w:line="240" w:lineRule="auto"/>
              <w:jc w:val="center"/>
              <w:rPr>
                <w:rFonts w:ascii="Times New Roman" w:hAnsi="Times New Roman" w:cs="Times New Roman"/>
                <w:sz w:val="20"/>
                <w:szCs w:val="20"/>
              </w:rPr>
            </w:pPr>
            <w:r w:rsidRPr="00C11B0D">
              <w:rPr>
                <w:rFonts w:ascii="Times New Roman" w:hAnsi="Times New Roman" w:cs="Times New Roman"/>
                <w:color w:val="000000"/>
                <w:sz w:val="20"/>
                <w:szCs w:val="20"/>
              </w:rPr>
              <w:t>LCBEC</w:t>
            </w:r>
          </w:p>
        </w:tc>
        <w:tc>
          <w:tcPr>
            <w:tcW w:w="1870" w:type="dxa"/>
          </w:tcPr>
          <w:p w:rsidR="00C11B0D" w:rsidRPr="00C11B0D" w:rsidRDefault="00C11B0D" w:rsidP="00FE4F82">
            <w:pPr>
              <w:autoSpaceDE w:val="0"/>
              <w:autoSpaceDN w:val="0"/>
              <w:adjustRightInd w:val="0"/>
              <w:spacing w:after="0" w:line="240" w:lineRule="auto"/>
              <w:jc w:val="center"/>
              <w:rPr>
                <w:rFonts w:ascii="Times New Roman" w:hAnsi="Times New Roman" w:cs="Times New Roman"/>
                <w:sz w:val="20"/>
                <w:szCs w:val="20"/>
              </w:rPr>
            </w:pPr>
            <w:r w:rsidRPr="00C11B0D">
              <w:rPr>
                <w:rFonts w:ascii="Times New Roman" w:hAnsi="Times New Roman" w:cs="Times New Roman"/>
                <w:color w:val="000000"/>
                <w:sz w:val="20"/>
                <w:szCs w:val="20"/>
              </w:rPr>
              <w:t>0.0385</w:t>
            </w:r>
          </w:p>
        </w:tc>
        <w:tc>
          <w:tcPr>
            <w:tcW w:w="1870" w:type="dxa"/>
          </w:tcPr>
          <w:p w:rsidR="00C11B0D" w:rsidRPr="00C11B0D" w:rsidRDefault="00C11B0D" w:rsidP="00FE4F82">
            <w:pPr>
              <w:autoSpaceDE w:val="0"/>
              <w:autoSpaceDN w:val="0"/>
              <w:adjustRightInd w:val="0"/>
              <w:spacing w:after="0" w:line="240" w:lineRule="auto"/>
              <w:jc w:val="center"/>
              <w:rPr>
                <w:rFonts w:ascii="Times New Roman" w:hAnsi="Times New Roman" w:cs="Times New Roman"/>
                <w:sz w:val="20"/>
                <w:szCs w:val="20"/>
              </w:rPr>
            </w:pPr>
            <w:r w:rsidRPr="00C11B0D">
              <w:rPr>
                <w:rFonts w:ascii="Times New Roman" w:hAnsi="Times New Roman" w:cs="Times New Roman"/>
                <w:color w:val="000000"/>
                <w:sz w:val="20"/>
                <w:szCs w:val="20"/>
              </w:rPr>
              <w:t>0.0754</w:t>
            </w:r>
          </w:p>
        </w:tc>
        <w:tc>
          <w:tcPr>
            <w:tcW w:w="1870" w:type="dxa"/>
          </w:tcPr>
          <w:p w:rsidR="00C11B0D" w:rsidRPr="00C11B0D" w:rsidRDefault="00C11B0D" w:rsidP="00FE4F82">
            <w:pPr>
              <w:autoSpaceDE w:val="0"/>
              <w:autoSpaceDN w:val="0"/>
              <w:adjustRightInd w:val="0"/>
              <w:spacing w:after="0" w:line="240" w:lineRule="auto"/>
              <w:jc w:val="center"/>
              <w:rPr>
                <w:rFonts w:ascii="Times New Roman" w:hAnsi="Times New Roman" w:cs="Times New Roman"/>
                <w:sz w:val="20"/>
                <w:szCs w:val="20"/>
              </w:rPr>
            </w:pPr>
            <w:r w:rsidRPr="00C11B0D">
              <w:rPr>
                <w:rFonts w:ascii="Times New Roman" w:hAnsi="Times New Roman" w:cs="Times New Roman"/>
                <w:color w:val="000000"/>
                <w:sz w:val="20"/>
                <w:szCs w:val="20"/>
              </w:rPr>
              <w:t>0.5108</w:t>
            </w:r>
          </w:p>
        </w:tc>
        <w:tc>
          <w:tcPr>
            <w:tcW w:w="1870" w:type="dxa"/>
          </w:tcPr>
          <w:p w:rsidR="00C11B0D" w:rsidRPr="00C11B0D" w:rsidRDefault="00C11B0D" w:rsidP="00FE4F82">
            <w:pPr>
              <w:autoSpaceDE w:val="0"/>
              <w:autoSpaceDN w:val="0"/>
              <w:adjustRightInd w:val="0"/>
              <w:spacing w:after="0" w:line="240" w:lineRule="auto"/>
              <w:jc w:val="center"/>
              <w:rPr>
                <w:rFonts w:ascii="Times New Roman" w:hAnsi="Times New Roman" w:cs="Times New Roman"/>
                <w:sz w:val="20"/>
                <w:szCs w:val="20"/>
              </w:rPr>
            </w:pPr>
            <w:r w:rsidRPr="00C11B0D">
              <w:rPr>
                <w:rFonts w:ascii="Times New Roman" w:hAnsi="Times New Roman" w:cs="Times New Roman"/>
                <w:color w:val="000000"/>
                <w:sz w:val="20"/>
                <w:szCs w:val="20"/>
              </w:rPr>
              <w:t>0.6133</w:t>
            </w:r>
          </w:p>
        </w:tc>
      </w:tr>
      <w:tr w:rsidR="00C11B0D" w:rsidRPr="00C11B0D" w:rsidTr="00FE4F82">
        <w:tc>
          <w:tcPr>
            <w:tcW w:w="1870" w:type="dxa"/>
          </w:tcPr>
          <w:p w:rsidR="00C11B0D" w:rsidRPr="00C11B0D" w:rsidRDefault="00C11B0D" w:rsidP="00FE4F82">
            <w:pPr>
              <w:autoSpaceDE w:val="0"/>
              <w:autoSpaceDN w:val="0"/>
              <w:adjustRightInd w:val="0"/>
              <w:spacing w:after="0" w:line="240" w:lineRule="auto"/>
              <w:jc w:val="center"/>
              <w:rPr>
                <w:rFonts w:ascii="Times New Roman" w:hAnsi="Times New Roman" w:cs="Times New Roman"/>
                <w:sz w:val="20"/>
                <w:szCs w:val="20"/>
              </w:rPr>
            </w:pPr>
            <w:r w:rsidRPr="00C11B0D">
              <w:rPr>
                <w:rFonts w:ascii="Times New Roman" w:hAnsi="Times New Roman" w:cs="Times New Roman"/>
                <w:color w:val="000000"/>
                <w:sz w:val="20"/>
                <w:szCs w:val="20"/>
              </w:rPr>
              <w:t>INFR</w:t>
            </w:r>
          </w:p>
        </w:tc>
        <w:tc>
          <w:tcPr>
            <w:tcW w:w="1870" w:type="dxa"/>
          </w:tcPr>
          <w:p w:rsidR="00C11B0D" w:rsidRPr="00C11B0D" w:rsidRDefault="00C11B0D" w:rsidP="00FE4F82">
            <w:pPr>
              <w:autoSpaceDE w:val="0"/>
              <w:autoSpaceDN w:val="0"/>
              <w:adjustRightInd w:val="0"/>
              <w:spacing w:after="0" w:line="240" w:lineRule="auto"/>
              <w:jc w:val="center"/>
              <w:rPr>
                <w:rFonts w:ascii="Times New Roman" w:hAnsi="Times New Roman" w:cs="Times New Roman"/>
                <w:sz w:val="20"/>
                <w:szCs w:val="20"/>
              </w:rPr>
            </w:pPr>
            <w:r w:rsidRPr="00C11B0D">
              <w:rPr>
                <w:rFonts w:ascii="Times New Roman" w:hAnsi="Times New Roman" w:cs="Times New Roman"/>
                <w:color w:val="000000"/>
                <w:sz w:val="20"/>
                <w:szCs w:val="20"/>
              </w:rPr>
              <w:t>0.0017</w:t>
            </w:r>
          </w:p>
        </w:tc>
        <w:tc>
          <w:tcPr>
            <w:tcW w:w="1870" w:type="dxa"/>
          </w:tcPr>
          <w:p w:rsidR="00C11B0D" w:rsidRPr="00C11B0D" w:rsidRDefault="00C11B0D" w:rsidP="00FE4F82">
            <w:pPr>
              <w:autoSpaceDE w:val="0"/>
              <w:autoSpaceDN w:val="0"/>
              <w:adjustRightInd w:val="0"/>
              <w:spacing w:after="0" w:line="240" w:lineRule="auto"/>
              <w:jc w:val="center"/>
              <w:rPr>
                <w:rFonts w:ascii="Times New Roman" w:hAnsi="Times New Roman" w:cs="Times New Roman"/>
                <w:sz w:val="20"/>
                <w:szCs w:val="20"/>
              </w:rPr>
            </w:pPr>
            <w:r w:rsidRPr="00C11B0D">
              <w:rPr>
                <w:rFonts w:ascii="Times New Roman" w:hAnsi="Times New Roman" w:cs="Times New Roman"/>
                <w:color w:val="000000"/>
                <w:sz w:val="20"/>
                <w:szCs w:val="20"/>
              </w:rPr>
              <w:t>0.0020</w:t>
            </w:r>
          </w:p>
        </w:tc>
        <w:tc>
          <w:tcPr>
            <w:tcW w:w="1870" w:type="dxa"/>
          </w:tcPr>
          <w:p w:rsidR="00C11B0D" w:rsidRPr="00C11B0D" w:rsidRDefault="00C11B0D" w:rsidP="00FE4F82">
            <w:pPr>
              <w:autoSpaceDE w:val="0"/>
              <w:autoSpaceDN w:val="0"/>
              <w:adjustRightInd w:val="0"/>
              <w:spacing w:after="0" w:line="240" w:lineRule="auto"/>
              <w:jc w:val="center"/>
              <w:rPr>
                <w:rFonts w:ascii="Times New Roman" w:hAnsi="Times New Roman" w:cs="Times New Roman"/>
                <w:sz w:val="20"/>
                <w:szCs w:val="20"/>
              </w:rPr>
            </w:pPr>
            <w:r w:rsidRPr="00C11B0D">
              <w:rPr>
                <w:rFonts w:ascii="Times New Roman" w:hAnsi="Times New Roman" w:cs="Times New Roman"/>
                <w:color w:val="000000"/>
                <w:sz w:val="20"/>
                <w:szCs w:val="20"/>
              </w:rPr>
              <w:t>0.8454</w:t>
            </w:r>
          </w:p>
        </w:tc>
        <w:tc>
          <w:tcPr>
            <w:tcW w:w="1870" w:type="dxa"/>
          </w:tcPr>
          <w:p w:rsidR="00C11B0D" w:rsidRPr="00C11B0D" w:rsidRDefault="00C11B0D" w:rsidP="00FE4F82">
            <w:pPr>
              <w:autoSpaceDE w:val="0"/>
              <w:autoSpaceDN w:val="0"/>
              <w:adjustRightInd w:val="0"/>
              <w:spacing w:after="0" w:line="240" w:lineRule="auto"/>
              <w:jc w:val="center"/>
              <w:rPr>
                <w:rFonts w:ascii="Times New Roman" w:hAnsi="Times New Roman" w:cs="Times New Roman"/>
                <w:sz w:val="20"/>
                <w:szCs w:val="20"/>
              </w:rPr>
            </w:pPr>
            <w:r w:rsidRPr="00C11B0D">
              <w:rPr>
                <w:rFonts w:ascii="Times New Roman" w:hAnsi="Times New Roman" w:cs="Times New Roman"/>
                <w:color w:val="000000"/>
                <w:sz w:val="20"/>
                <w:szCs w:val="20"/>
              </w:rPr>
              <w:t>0.4048</w:t>
            </w:r>
          </w:p>
        </w:tc>
      </w:tr>
      <w:tr w:rsidR="00C11B0D" w:rsidRPr="00C11B0D" w:rsidTr="00FE4F82">
        <w:tc>
          <w:tcPr>
            <w:tcW w:w="1870" w:type="dxa"/>
          </w:tcPr>
          <w:p w:rsidR="00C11B0D" w:rsidRPr="00C11B0D" w:rsidRDefault="00C11B0D" w:rsidP="00FE4F82">
            <w:pPr>
              <w:autoSpaceDE w:val="0"/>
              <w:autoSpaceDN w:val="0"/>
              <w:adjustRightInd w:val="0"/>
              <w:spacing w:after="0" w:line="240" w:lineRule="auto"/>
              <w:jc w:val="center"/>
              <w:rPr>
                <w:rFonts w:ascii="Times New Roman" w:hAnsi="Times New Roman" w:cs="Times New Roman"/>
                <w:color w:val="000000"/>
                <w:sz w:val="20"/>
                <w:szCs w:val="20"/>
              </w:rPr>
            </w:pPr>
            <w:r w:rsidRPr="00C11B0D">
              <w:rPr>
                <w:rFonts w:ascii="Times New Roman" w:hAnsi="Times New Roman" w:cs="Times New Roman"/>
                <w:color w:val="000000"/>
                <w:sz w:val="20"/>
                <w:szCs w:val="20"/>
              </w:rPr>
              <w:t>INTR</w:t>
            </w:r>
          </w:p>
        </w:tc>
        <w:tc>
          <w:tcPr>
            <w:tcW w:w="1870" w:type="dxa"/>
          </w:tcPr>
          <w:p w:rsidR="00C11B0D" w:rsidRPr="00C11B0D" w:rsidRDefault="00C11B0D" w:rsidP="00FE4F82">
            <w:pPr>
              <w:autoSpaceDE w:val="0"/>
              <w:autoSpaceDN w:val="0"/>
              <w:adjustRightInd w:val="0"/>
              <w:spacing w:after="0" w:line="240" w:lineRule="auto"/>
              <w:jc w:val="center"/>
              <w:rPr>
                <w:rFonts w:ascii="Times New Roman" w:hAnsi="Times New Roman" w:cs="Times New Roman"/>
                <w:color w:val="000000"/>
                <w:sz w:val="20"/>
                <w:szCs w:val="20"/>
              </w:rPr>
            </w:pPr>
            <w:r w:rsidRPr="00C11B0D">
              <w:rPr>
                <w:rFonts w:ascii="Times New Roman" w:hAnsi="Times New Roman" w:cs="Times New Roman"/>
                <w:color w:val="000000"/>
                <w:sz w:val="20"/>
                <w:szCs w:val="20"/>
              </w:rPr>
              <w:t>-0.0162</w:t>
            </w:r>
          </w:p>
        </w:tc>
        <w:tc>
          <w:tcPr>
            <w:tcW w:w="1870" w:type="dxa"/>
          </w:tcPr>
          <w:p w:rsidR="00C11B0D" w:rsidRPr="00C11B0D" w:rsidRDefault="00C11B0D" w:rsidP="00FE4F82">
            <w:pPr>
              <w:autoSpaceDE w:val="0"/>
              <w:autoSpaceDN w:val="0"/>
              <w:adjustRightInd w:val="0"/>
              <w:spacing w:after="0" w:line="240" w:lineRule="auto"/>
              <w:jc w:val="center"/>
              <w:rPr>
                <w:rFonts w:ascii="Times New Roman" w:hAnsi="Times New Roman" w:cs="Times New Roman"/>
                <w:color w:val="000000"/>
                <w:sz w:val="20"/>
                <w:szCs w:val="20"/>
              </w:rPr>
            </w:pPr>
            <w:r w:rsidRPr="00C11B0D">
              <w:rPr>
                <w:rFonts w:ascii="Times New Roman" w:hAnsi="Times New Roman" w:cs="Times New Roman"/>
                <w:color w:val="000000"/>
                <w:sz w:val="20"/>
                <w:szCs w:val="20"/>
              </w:rPr>
              <w:t>0.0094</w:t>
            </w:r>
          </w:p>
        </w:tc>
        <w:tc>
          <w:tcPr>
            <w:tcW w:w="1870" w:type="dxa"/>
          </w:tcPr>
          <w:p w:rsidR="00C11B0D" w:rsidRPr="00C11B0D" w:rsidRDefault="00C11B0D" w:rsidP="00FE4F82">
            <w:pPr>
              <w:autoSpaceDE w:val="0"/>
              <w:autoSpaceDN w:val="0"/>
              <w:adjustRightInd w:val="0"/>
              <w:spacing w:after="0" w:line="240" w:lineRule="auto"/>
              <w:jc w:val="center"/>
              <w:rPr>
                <w:rFonts w:ascii="Times New Roman" w:hAnsi="Times New Roman" w:cs="Times New Roman"/>
                <w:color w:val="000000"/>
                <w:sz w:val="20"/>
                <w:szCs w:val="20"/>
              </w:rPr>
            </w:pPr>
            <w:r w:rsidRPr="00C11B0D">
              <w:rPr>
                <w:rFonts w:ascii="Times New Roman" w:hAnsi="Times New Roman" w:cs="Times New Roman"/>
                <w:color w:val="000000"/>
                <w:sz w:val="20"/>
                <w:szCs w:val="20"/>
              </w:rPr>
              <w:t>-1.7291</w:t>
            </w:r>
          </w:p>
        </w:tc>
        <w:tc>
          <w:tcPr>
            <w:tcW w:w="1870" w:type="dxa"/>
          </w:tcPr>
          <w:p w:rsidR="00C11B0D" w:rsidRPr="00C11B0D" w:rsidRDefault="00C11B0D" w:rsidP="00FE4F82">
            <w:pPr>
              <w:autoSpaceDE w:val="0"/>
              <w:autoSpaceDN w:val="0"/>
              <w:adjustRightInd w:val="0"/>
              <w:spacing w:after="0" w:line="240" w:lineRule="auto"/>
              <w:jc w:val="center"/>
              <w:rPr>
                <w:rFonts w:ascii="Times New Roman" w:hAnsi="Times New Roman" w:cs="Times New Roman"/>
                <w:color w:val="000000"/>
                <w:sz w:val="20"/>
                <w:szCs w:val="20"/>
              </w:rPr>
            </w:pPr>
            <w:r w:rsidRPr="00C11B0D">
              <w:rPr>
                <w:rFonts w:ascii="Times New Roman" w:hAnsi="Times New Roman" w:cs="Times New Roman"/>
                <w:color w:val="000000"/>
                <w:sz w:val="20"/>
                <w:szCs w:val="20"/>
              </w:rPr>
              <w:t>0.0944</w:t>
            </w:r>
          </w:p>
        </w:tc>
      </w:tr>
      <w:tr w:rsidR="00C11B0D" w:rsidRPr="00C11B0D" w:rsidTr="00FE4F82">
        <w:tc>
          <w:tcPr>
            <w:tcW w:w="9016" w:type="dxa"/>
            <w:gridSpan w:val="5"/>
          </w:tcPr>
          <w:p w:rsidR="00C11B0D" w:rsidRPr="00C11B0D" w:rsidRDefault="00C11B0D" w:rsidP="00FE4F82">
            <w:pPr>
              <w:autoSpaceDE w:val="0"/>
              <w:autoSpaceDN w:val="0"/>
              <w:adjustRightInd w:val="0"/>
              <w:spacing w:after="0" w:line="240" w:lineRule="auto"/>
              <w:rPr>
                <w:rFonts w:ascii="Times New Roman" w:hAnsi="Times New Roman" w:cs="Times New Roman"/>
                <w:color w:val="000000"/>
                <w:sz w:val="20"/>
                <w:szCs w:val="20"/>
              </w:rPr>
            </w:pPr>
            <w:r w:rsidRPr="00C11B0D">
              <w:rPr>
                <w:rFonts w:ascii="Times New Roman" w:hAnsi="Times New Roman" w:cs="Times New Roman"/>
                <w:color w:val="000000"/>
                <w:sz w:val="20"/>
                <w:szCs w:val="20"/>
              </w:rPr>
              <w:t>R-squared</w:t>
            </w:r>
            <w:r w:rsidRPr="00C11B0D">
              <w:rPr>
                <w:rFonts w:ascii="Times New Roman" w:hAnsi="Times New Roman" w:cs="Times New Roman"/>
                <w:color w:val="000000"/>
                <w:sz w:val="20"/>
                <w:szCs w:val="20"/>
              </w:rPr>
              <w:tab/>
            </w:r>
            <w:r w:rsidRPr="00C11B0D">
              <w:rPr>
                <w:rFonts w:ascii="Times New Roman" w:hAnsi="Times New Roman" w:cs="Times New Roman"/>
                <w:color w:val="000000"/>
                <w:sz w:val="20"/>
                <w:szCs w:val="20"/>
              </w:rPr>
              <w:tab/>
              <w:t>0.977565</w:t>
            </w:r>
          </w:p>
          <w:p w:rsidR="00C11B0D" w:rsidRPr="00C11B0D" w:rsidRDefault="00C11B0D" w:rsidP="00FE4F82">
            <w:pPr>
              <w:autoSpaceDE w:val="0"/>
              <w:autoSpaceDN w:val="0"/>
              <w:adjustRightInd w:val="0"/>
              <w:spacing w:after="0" w:line="240" w:lineRule="auto"/>
              <w:rPr>
                <w:rFonts w:ascii="Times New Roman" w:hAnsi="Times New Roman" w:cs="Times New Roman"/>
                <w:color w:val="000000"/>
                <w:sz w:val="20"/>
                <w:szCs w:val="20"/>
              </w:rPr>
            </w:pPr>
            <w:r w:rsidRPr="00C11B0D">
              <w:rPr>
                <w:rFonts w:ascii="Times New Roman" w:hAnsi="Times New Roman" w:cs="Times New Roman"/>
                <w:color w:val="000000"/>
                <w:sz w:val="20"/>
                <w:szCs w:val="20"/>
              </w:rPr>
              <w:t>Adjusted R-squared</w:t>
            </w:r>
            <w:r w:rsidRPr="00C11B0D">
              <w:rPr>
                <w:rFonts w:ascii="Times New Roman" w:hAnsi="Times New Roman" w:cs="Times New Roman"/>
                <w:color w:val="000000"/>
                <w:sz w:val="20"/>
                <w:szCs w:val="20"/>
              </w:rPr>
              <w:tab/>
              <w:t>0.972150</w:t>
            </w:r>
          </w:p>
          <w:p w:rsidR="00C11B0D" w:rsidRPr="00C11B0D" w:rsidRDefault="00C11B0D" w:rsidP="00FE4F82">
            <w:pPr>
              <w:autoSpaceDE w:val="0"/>
              <w:autoSpaceDN w:val="0"/>
              <w:adjustRightInd w:val="0"/>
              <w:spacing w:after="0" w:line="240" w:lineRule="auto"/>
              <w:rPr>
                <w:rFonts w:ascii="Times New Roman" w:hAnsi="Times New Roman" w:cs="Times New Roman"/>
                <w:color w:val="000000"/>
                <w:sz w:val="20"/>
                <w:szCs w:val="20"/>
              </w:rPr>
            </w:pPr>
            <w:r w:rsidRPr="00C11B0D">
              <w:rPr>
                <w:rFonts w:ascii="Times New Roman" w:hAnsi="Times New Roman" w:cs="Times New Roman"/>
                <w:color w:val="000000"/>
                <w:sz w:val="20"/>
                <w:szCs w:val="20"/>
              </w:rPr>
              <w:t>Durbin-Watson stat</w:t>
            </w:r>
            <w:r w:rsidRPr="00C11B0D">
              <w:rPr>
                <w:rFonts w:ascii="Times New Roman" w:hAnsi="Times New Roman" w:cs="Times New Roman"/>
                <w:color w:val="000000"/>
                <w:sz w:val="20"/>
                <w:szCs w:val="20"/>
              </w:rPr>
              <w:tab/>
              <w:t>2.302202</w:t>
            </w:r>
            <w:r w:rsidRPr="00C11B0D">
              <w:rPr>
                <w:rFonts w:ascii="Times New Roman" w:hAnsi="Times New Roman" w:cs="Times New Roman"/>
                <w:color w:val="000000"/>
                <w:sz w:val="20"/>
                <w:szCs w:val="20"/>
              </w:rPr>
              <w:tab/>
            </w:r>
          </w:p>
        </w:tc>
      </w:tr>
    </w:tbl>
    <w:p w:rsidR="00C11B0D" w:rsidRPr="00C11B0D" w:rsidRDefault="003D14A5" w:rsidP="00C11B0D">
      <w:pPr>
        <w:pStyle w:val="H2"/>
        <w:spacing w:before="240"/>
        <w:rPr>
          <w:color w:val="000000"/>
          <w:sz w:val="24"/>
          <w:szCs w:val="24"/>
        </w:rPr>
      </w:pPr>
      <w:bookmarkStart w:id="44" w:name="_Toc115647126"/>
      <w:r>
        <w:rPr>
          <w:iCs/>
          <w:color w:val="000000"/>
          <w:sz w:val="24"/>
          <w:szCs w:val="24"/>
        </w:rPr>
        <w:t>4.4</w:t>
      </w:r>
      <w:r>
        <w:rPr>
          <w:iCs/>
          <w:color w:val="000000"/>
          <w:sz w:val="24"/>
          <w:szCs w:val="24"/>
        </w:rPr>
        <w:tab/>
      </w:r>
      <w:r w:rsidR="00C11B0D" w:rsidRPr="00C11B0D">
        <w:rPr>
          <w:iCs/>
          <w:color w:val="000000"/>
          <w:sz w:val="24"/>
          <w:szCs w:val="24"/>
        </w:rPr>
        <w:t xml:space="preserve">Long-run analysis of the impact of </w:t>
      </w:r>
      <w:r w:rsidR="00C11B0D" w:rsidRPr="00C11B0D">
        <w:rPr>
          <w:sz w:val="24"/>
          <w:szCs w:val="24"/>
        </w:rPr>
        <w:t>export credit on non-oil export performance</w:t>
      </w:r>
      <w:bookmarkEnd w:id="44"/>
    </w:p>
    <w:p w:rsidR="00C11B0D" w:rsidRPr="00C11B0D" w:rsidRDefault="00C11B0D" w:rsidP="00C11B0D">
      <w:pPr>
        <w:spacing w:before="240"/>
        <w:jc w:val="both"/>
        <w:rPr>
          <w:rFonts w:ascii="Times New Roman" w:hAnsi="Times New Roman" w:cs="Times New Roman"/>
          <w:sz w:val="24"/>
          <w:szCs w:val="24"/>
        </w:rPr>
      </w:pPr>
      <w:r w:rsidRPr="00C11B0D">
        <w:rPr>
          <w:rFonts w:ascii="Times New Roman" w:hAnsi="Times New Roman" w:cs="Times New Roman"/>
          <w:sz w:val="24"/>
          <w:szCs w:val="24"/>
        </w:rPr>
        <w:t xml:space="preserve">In testing for the long-run impact of each of the explanatory variables on the dependent variable of concern, models 1-4 in Table 8 show the long-run estimates of the impact being analysed. Specifically, model 1 which is total non-oil export, the estimates reveals that the generated signs for all the significant variables in the model conform </w:t>
      </w:r>
      <w:proofErr w:type="gramStart"/>
      <w:r w:rsidRPr="00C11B0D">
        <w:rPr>
          <w:rFonts w:ascii="Times New Roman" w:hAnsi="Times New Roman" w:cs="Times New Roman"/>
          <w:sz w:val="24"/>
          <w:szCs w:val="24"/>
        </w:rPr>
        <w:t>with</w:t>
      </w:r>
      <w:proofErr w:type="gramEnd"/>
      <w:r w:rsidRPr="00C11B0D">
        <w:rPr>
          <w:rFonts w:ascii="Times New Roman" w:hAnsi="Times New Roman" w:cs="Times New Roman"/>
          <w:sz w:val="24"/>
          <w:szCs w:val="24"/>
        </w:rPr>
        <w:t xml:space="preserve"> a priori expectations. Of some note are the significant positive impact of commercial banks’ credit to non-oil exporters, openness to trade and real GDP on non-oil export performance. Monetary policy rate has significant negative impact on non-oil export performance. Turning specifically to the relationship between export credit and non-oil export performance, it is clear from Table 8 that provision of commercial banks’ credit to export sector has significantly enhance the performance of non-oil export sector in Nigeria, although the coefficient is low. By implication, the total amount of credit disbursed to export sector is very small. This result corroborates the findings of </w:t>
      </w:r>
      <w:proofErr w:type="spellStart"/>
      <w:r w:rsidRPr="00C11B0D">
        <w:rPr>
          <w:rFonts w:ascii="Times New Roman" w:hAnsi="Times New Roman" w:cs="Times New Roman"/>
          <w:sz w:val="24"/>
          <w:szCs w:val="24"/>
        </w:rPr>
        <w:t>Akoto</w:t>
      </w:r>
      <w:proofErr w:type="spellEnd"/>
      <w:r w:rsidRPr="00C11B0D">
        <w:rPr>
          <w:rFonts w:ascii="Times New Roman" w:hAnsi="Times New Roman" w:cs="Times New Roman"/>
          <w:sz w:val="24"/>
          <w:szCs w:val="24"/>
        </w:rPr>
        <w:t xml:space="preserve"> and </w:t>
      </w:r>
      <w:proofErr w:type="spellStart"/>
      <w:r w:rsidRPr="00C11B0D">
        <w:rPr>
          <w:rFonts w:ascii="Times New Roman" w:hAnsi="Times New Roman" w:cs="Times New Roman"/>
          <w:sz w:val="24"/>
          <w:szCs w:val="24"/>
        </w:rPr>
        <w:t>Adjasi</w:t>
      </w:r>
      <w:proofErr w:type="spellEnd"/>
      <w:r w:rsidRPr="00C11B0D">
        <w:rPr>
          <w:rFonts w:ascii="Times New Roman" w:hAnsi="Times New Roman" w:cs="Times New Roman"/>
          <w:sz w:val="24"/>
          <w:szCs w:val="24"/>
        </w:rPr>
        <w:t xml:space="preserve"> (2020) but inconsistent with </w:t>
      </w:r>
      <w:proofErr w:type="spellStart"/>
      <w:r w:rsidRPr="00482881">
        <w:rPr>
          <w:rFonts w:ascii="Times New Roman" w:hAnsi="Times New Roman" w:cs="Times New Roman"/>
          <w:bCs/>
          <w:color w:val="000000"/>
          <w:sz w:val="24"/>
          <w:szCs w:val="24"/>
        </w:rPr>
        <w:t>Okosodo</w:t>
      </w:r>
      <w:proofErr w:type="spellEnd"/>
      <w:r w:rsidRPr="00482881">
        <w:rPr>
          <w:rFonts w:ascii="Times New Roman" w:hAnsi="Times New Roman" w:cs="Times New Roman"/>
          <w:bCs/>
          <w:color w:val="000000"/>
          <w:sz w:val="24"/>
          <w:szCs w:val="24"/>
        </w:rPr>
        <w:t xml:space="preserve"> and</w:t>
      </w:r>
      <w:r w:rsidRPr="00482881">
        <w:rPr>
          <w:rFonts w:ascii="Times New Roman" w:hAnsi="Times New Roman" w:cs="Times New Roman"/>
          <w:color w:val="000000"/>
          <w:sz w:val="24"/>
          <w:szCs w:val="24"/>
        </w:rPr>
        <w:t xml:space="preserve"> </w:t>
      </w:r>
      <w:proofErr w:type="spellStart"/>
      <w:r w:rsidRPr="00482881">
        <w:rPr>
          <w:rFonts w:ascii="Times New Roman" w:hAnsi="Times New Roman" w:cs="Times New Roman"/>
          <w:bCs/>
          <w:color w:val="000000"/>
          <w:sz w:val="24"/>
          <w:szCs w:val="24"/>
        </w:rPr>
        <w:t>Imoughele</w:t>
      </w:r>
      <w:proofErr w:type="spellEnd"/>
      <w:r w:rsidRPr="00482881">
        <w:rPr>
          <w:rFonts w:ascii="Times New Roman" w:hAnsi="Times New Roman" w:cs="Times New Roman"/>
          <w:bCs/>
          <w:sz w:val="24"/>
          <w:szCs w:val="24"/>
        </w:rPr>
        <w:t xml:space="preserve"> (2019</w:t>
      </w:r>
      <w:r w:rsidRPr="00C11B0D">
        <w:rPr>
          <w:rFonts w:ascii="Times New Roman" w:hAnsi="Times New Roman" w:cs="Times New Roman"/>
          <w:bCs/>
          <w:sz w:val="24"/>
          <w:szCs w:val="24"/>
        </w:rPr>
        <w:t xml:space="preserve">) who reported that </w:t>
      </w:r>
      <w:r w:rsidRPr="00C11B0D">
        <w:rPr>
          <w:rFonts w:ascii="Times New Roman" w:hAnsi="Times New Roman" w:cs="Times New Roman"/>
          <w:sz w:val="24"/>
          <w:szCs w:val="24"/>
        </w:rPr>
        <w:t xml:space="preserve">poor deposit money bank credit supply to </w:t>
      </w:r>
      <w:r w:rsidRPr="00C11B0D">
        <w:rPr>
          <w:rFonts w:ascii="Times New Roman" w:hAnsi="Times New Roman" w:cs="Times New Roman"/>
          <w:sz w:val="24"/>
          <w:szCs w:val="24"/>
        </w:rPr>
        <w:lastRenderedPageBreak/>
        <w:t xml:space="preserve">export sector compared to other real sector of the economy such as agriculture, manufacturing and solid minerals could be responsible for poor performance of export sector, in particular. It could also be inferred from the finding that non-oil export performance with relatively low bank export credit elasticity means it is highly susceptible to changes in bank export credit contraction. The finding negatives the result of the baseline model of </w:t>
      </w:r>
      <w:proofErr w:type="spellStart"/>
      <w:r w:rsidRPr="00C11B0D">
        <w:rPr>
          <w:rFonts w:ascii="Times New Roman" w:hAnsi="Times New Roman" w:cs="Times New Roman"/>
          <w:sz w:val="24"/>
          <w:szCs w:val="24"/>
        </w:rPr>
        <w:t>Elechi</w:t>
      </w:r>
      <w:proofErr w:type="spellEnd"/>
      <w:r w:rsidRPr="00C11B0D">
        <w:rPr>
          <w:rFonts w:ascii="Times New Roman" w:hAnsi="Times New Roman" w:cs="Times New Roman"/>
          <w:sz w:val="24"/>
          <w:szCs w:val="24"/>
        </w:rPr>
        <w:t xml:space="preserve"> et al. (2016) who found no significant impact of c</w:t>
      </w:r>
      <w:proofErr w:type="spellStart"/>
      <w:r w:rsidRPr="00C11B0D">
        <w:rPr>
          <w:rFonts w:ascii="Times New Roman" w:hAnsi="Times New Roman" w:cs="Times New Roman"/>
          <w:sz w:val="24"/>
          <w:szCs w:val="24"/>
          <w:lang w:val="en-US"/>
        </w:rPr>
        <w:t>ommercial</w:t>
      </w:r>
      <w:proofErr w:type="spellEnd"/>
      <w:r w:rsidRPr="00C11B0D">
        <w:rPr>
          <w:rFonts w:ascii="Times New Roman" w:hAnsi="Times New Roman" w:cs="Times New Roman"/>
          <w:sz w:val="24"/>
          <w:szCs w:val="24"/>
          <w:lang w:val="en-US"/>
        </w:rPr>
        <w:t xml:space="preserve"> banks credit on non-oil exports performance.</w:t>
      </w:r>
      <w:r w:rsidRPr="00C11B0D">
        <w:rPr>
          <w:rFonts w:ascii="Arial" w:hAnsi="Arial" w:cs="Arial"/>
          <w:sz w:val="24"/>
          <w:szCs w:val="24"/>
          <w:lang w:val="en-US"/>
        </w:rPr>
        <w:t xml:space="preserve"> </w:t>
      </w:r>
      <w:r w:rsidRPr="00C11B0D">
        <w:rPr>
          <w:rFonts w:ascii="Times New Roman" w:hAnsi="Times New Roman" w:cs="Times New Roman"/>
          <w:sz w:val="24"/>
          <w:szCs w:val="24"/>
        </w:rPr>
        <w:t xml:space="preserve"> </w:t>
      </w:r>
      <w:r w:rsidRPr="00C11B0D">
        <w:rPr>
          <w:rFonts w:ascii="Times New Roman" w:hAnsi="Times New Roman" w:cs="Times New Roman"/>
          <w:bCs/>
          <w:sz w:val="24"/>
          <w:szCs w:val="24"/>
        </w:rPr>
        <w:t xml:space="preserve"> </w:t>
      </w:r>
      <w:r w:rsidRPr="00C11B0D">
        <w:rPr>
          <w:rFonts w:ascii="Times New Roman" w:hAnsi="Times New Roman" w:cs="Times New Roman"/>
          <w:sz w:val="24"/>
          <w:szCs w:val="24"/>
        </w:rPr>
        <w:t xml:space="preserve"> </w:t>
      </w:r>
    </w:p>
    <w:p w:rsidR="00C11B0D" w:rsidRPr="00C11B0D" w:rsidRDefault="00C11B0D" w:rsidP="00C11B0D">
      <w:pPr>
        <w:spacing w:before="240"/>
        <w:jc w:val="both"/>
        <w:rPr>
          <w:rFonts w:ascii="Times New Roman" w:hAnsi="Times New Roman" w:cs="Times New Roman"/>
          <w:sz w:val="24"/>
          <w:szCs w:val="24"/>
        </w:rPr>
      </w:pPr>
      <w:r w:rsidRPr="00C11B0D">
        <w:rPr>
          <w:rFonts w:ascii="Times New Roman" w:hAnsi="Times New Roman" w:cs="Times New Roman"/>
          <w:sz w:val="24"/>
          <w:szCs w:val="24"/>
        </w:rPr>
        <w:t xml:space="preserve">The estimated results show that the degree of trade openness which connote a substantial reduction in tariff and non-tariff barriers is found to be an important factor that could enhance Nigeria’s non-oil exports. As shown by the estimates in columns 2, significant positive coefficients of trade openness (OPEN) could signify removal of trade distortions in the economy, thus increase trade gains, such that capital goods required by the non-oil export sector, in particular, agriculture and manufactured sectors would be available. Further, the estimates suggest that an improvement in the degree of trade openness has tendency to boost the performance of Nigeria’s non-oil export performance by about 0.8% as shown in model 1. This finding is in agreement with the result of </w:t>
      </w:r>
      <w:proofErr w:type="spellStart"/>
      <w:r w:rsidRPr="00C11B0D">
        <w:rPr>
          <w:rFonts w:ascii="Times New Roman" w:hAnsi="Times New Roman" w:cs="Times New Roman"/>
          <w:sz w:val="24"/>
          <w:szCs w:val="24"/>
        </w:rPr>
        <w:t>Feenstra</w:t>
      </w:r>
      <w:proofErr w:type="spellEnd"/>
      <w:r w:rsidRPr="00C11B0D">
        <w:rPr>
          <w:rFonts w:ascii="Times New Roman" w:hAnsi="Times New Roman" w:cs="Times New Roman"/>
          <w:sz w:val="24"/>
          <w:szCs w:val="24"/>
        </w:rPr>
        <w:t>, Li</w:t>
      </w:r>
      <w:r w:rsidRPr="00C11B0D">
        <w:rPr>
          <w:rFonts w:ascii="Times New Roman" w:hAnsi="Times New Roman" w:cs="Times New Roman"/>
          <w:iCs/>
          <w:sz w:val="24"/>
          <w:szCs w:val="24"/>
        </w:rPr>
        <w:t xml:space="preserve"> &amp; Yu </w:t>
      </w:r>
      <w:r w:rsidRPr="00C11B0D">
        <w:rPr>
          <w:rFonts w:ascii="Times New Roman" w:hAnsi="Times New Roman" w:cs="Times New Roman"/>
          <w:sz w:val="24"/>
          <w:szCs w:val="24"/>
        </w:rPr>
        <w:t xml:space="preserve">(2014) who found that credit constraint becomes tighter as the time to ship for exports is lengthened. Significant positive impact of real GDP conforms </w:t>
      </w:r>
      <w:proofErr w:type="gramStart"/>
      <w:r w:rsidRPr="00C11B0D">
        <w:rPr>
          <w:rFonts w:ascii="Times New Roman" w:hAnsi="Times New Roman" w:cs="Times New Roman"/>
          <w:sz w:val="24"/>
          <w:szCs w:val="24"/>
        </w:rPr>
        <w:t>with</w:t>
      </w:r>
      <w:proofErr w:type="gramEnd"/>
      <w:r w:rsidRPr="00C11B0D">
        <w:rPr>
          <w:rFonts w:ascii="Times New Roman" w:hAnsi="Times New Roman" w:cs="Times New Roman"/>
          <w:sz w:val="24"/>
          <w:szCs w:val="24"/>
        </w:rPr>
        <w:t xml:space="preserve"> theoretical expectations.</w:t>
      </w:r>
      <w:r w:rsidRPr="00C11B0D">
        <w:rPr>
          <w:sz w:val="24"/>
          <w:szCs w:val="24"/>
        </w:rPr>
        <w:t xml:space="preserve"> </w:t>
      </w:r>
      <w:r w:rsidRPr="00C11B0D">
        <w:rPr>
          <w:rFonts w:ascii="Times New Roman" w:hAnsi="Times New Roman" w:cs="Times New Roman"/>
          <w:sz w:val="24"/>
          <w:szCs w:val="24"/>
        </w:rPr>
        <w:t xml:space="preserve">According to this finding, Nigeria's non-oil export capacity is primarily predicted by its real GDP. A higher GDP implies a greater capacity for production, which translates into the economy's ability to export more (supply-side) to the global market. Considering the long-run impact of MPR on non-oil export, the result shows a significant negative relationship. This connotes that a high interest rate discourages non-oil exporters from approaching the banks for finance to meet their upfront expenses required for exporting activities, thus reducing the volume of Nigeria’s non-oil export to the global market. The result further shows that a 1% reduction in MPR increases Nigeria’s non-oil export performance by 0.06. This result corroborates the findings of </w:t>
      </w:r>
      <w:proofErr w:type="spellStart"/>
      <w:r w:rsidRPr="00C11B0D">
        <w:rPr>
          <w:rFonts w:ascii="Times New Roman" w:hAnsi="Times New Roman" w:cs="Times New Roman"/>
          <w:sz w:val="24"/>
          <w:szCs w:val="24"/>
        </w:rPr>
        <w:t>Ningi</w:t>
      </w:r>
      <w:proofErr w:type="spellEnd"/>
      <w:r w:rsidRPr="00C11B0D">
        <w:rPr>
          <w:rFonts w:ascii="Times New Roman" w:hAnsi="Times New Roman" w:cs="Times New Roman"/>
          <w:sz w:val="24"/>
          <w:szCs w:val="24"/>
        </w:rPr>
        <w:t xml:space="preserve"> (2013) and </w:t>
      </w:r>
      <w:proofErr w:type="spellStart"/>
      <w:r w:rsidRPr="00C11B0D">
        <w:rPr>
          <w:rFonts w:ascii="Times New Roman" w:hAnsi="Times New Roman" w:cs="Times New Roman"/>
          <w:sz w:val="24"/>
          <w:szCs w:val="24"/>
        </w:rPr>
        <w:t>Elechi</w:t>
      </w:r>
      <w:proofErr w:type="spellEnd"/>
      <w:r w:rsidRPr="00C11B0D">
        <w:rPr>
          <w:rFonts w:ascii="Times New Roman" w:hAnsi="Times New Roman" w:cs="Times New Roman"/>
          <w:sz w:val="24"/>
          <w:szCs w:val="24"/>
        </w:rPr>
        <w:t xml:space="preserve"> et al. (2016), who found significant negative contribution of interest rate on Nigeria’s non-oil export. The former conducted a survey while the latter used a time-series analysis but both employed OLS technique.</w:t>
      </w:r>
    </w:p>
    <w:p w:rsidR="00C11B0D" w:rsidRPr="00C11B0D" w:rsidRDefault="00C11B0D" w:rsidP="00C11B0D">
      <w:pPr>
        <w:spacing w:before="240"/>
        <w:jc w:val="both"/>
        <w:rPr>
          <w:rFonts w:ascii="Times New Roman" w:hAnsi="Times New Roman" w:cs="Times New Roman"/>
          <w:sz w:val="24"/>
          <w:szCs w:val="24"/>
        </w:rPr>
      </w:pPr>
      <w:r w:rsidRPr="00C11B0D">
        <w:rPr>
          <w:rFonts w:ascii="Times New Roman" w:hAnsi="Times New Roman" w:cs="Times New Roman"/>
          <w:color w:val="000000"/>
          <w:sz w:val="24"/>
          <w:szCs w:val="24"/>
        </w:rPr>
        <w:t xml:space="preserve">For model 2 which is total non-oil export as percentage of GDP, only RGDP is statistically significant. In the case of model 3 which is total non-oil export as a percentage of total export, only EXCR is positive and statistically significant. This is consistence with the theory and it </w:t>
      </w:r>
      <w:r w:rsidRPr="00C11B0D">
        <w:rPr>
          <w:rFonts w:ascii="Times New Roman" w:hAnsi="Times New Roman" w:cs="Times New Roman"/>
          <w:sz w:val="24"/>
          <w:szCs w:val="24"/>
        </w:rPr>
        <w:t>represents depreciation of Naira against the hard currency and associated with lower cost of trading. By implication, depreciation of Naira favours a producing country as the demand for its products in the foreign market becomes price elastic (i.e. cheaper), and raises the purchasing power of trading partners’ currencies, thus increase the volume of its non-oil export. For instance, the estimates of model 3 in Tables 8 suggest that depreciation of Naira by 1% could bring about 0.05% increase in the volume of Nigeria’s non-oil exports.</w:t>
      </w:r>
    </w:p>
    <w:p w:rsidR="00C11B0D" w:rsidRPr="00C11B0D" w:rsidRDefault="00C11B0D" w:rsidP="00C11B0D">
      <w:pPr>
        <w:spacing w:before="240"/>
        <w:jc w:val="both"/>
        <w:rPr>
          <w:rFonts w:ascii="Times New Roman" w:hAnsi="Times New Roman" w:cs="Times New Roman"/>
          <w:sz w:val="24"/>
          <w:szCs w:val="24"/>
        </w:rPr>
      </w:pPr>
      <w:r w:rsidRPr="00C11B0D">
        <w:rPr>
          <w:rFonts w:ascii="Times New Roman" w:hAnsi="Times New Roman" w:cs="Times New Roman"/>
          <w:color w:val="000000"/>
          <w:sz w:val="24"/>
          <w:szCs w:val="24"/>
        </w:rPr>
        <w:t xml:space="preserve">In the case of model 4 which is the growth rate of total non-oil export, none of the significant variables </w:t>
      </w:r>
      <w:r w:rsidRPr="00C11B0D">
        <w:rPr>
          <w:rFonts w:ascii="Times New Roman" w:hAnsi="Times New Roman" w:cs="Times New Roman"/>
          <w:sz w:val="24"/>
          <w:szCs w:val="24"/>
        </w:rPr>
        <w:t xml:space="preserve">in the model conform </w:t>
      </w:r>
      <w:proofErr w:type="gramStart"/>
      <w:r w:rsidRPr="00C11B0D">
        <w:rPr>
          <w:rFonts w:ascii="Times New Roman" w:hAnsi="Times New Roman" w:cs="Times New Roman"/>
          <w:sz w:val="24"/>
          <w:szCs w:val="24"/>
        </w:rPr>
        <w:t>with</w:t>
      </w:r>
      <w:proofErr w:type="gramEnd"/>
      <w:r w:rsidRPr="00C11B0D">
        <w:rPr>
          <w:rFonts w:ascii="Times New Roman" w:hAnsi="Times New Roman" w:cs="Times New Roman"/>
          <w:sz w:val="24"/>
          <w:szCs w:val="24"/>
        </w:rPr>
        <w:t xml:space="preserve"> a priori expectations (See column 5 of Table 8). Both </w:t>
      </w:r>
      <w:r w:rsidRPr="00C11B0D">
        <w:rPr>
          <w:rFonts w:ascii="Times New Roman" w:hAnsi="Times New Roman" w:cs="Times New Roman"/>
          <w:sz w:val="24"/>
          <w:szCs w:val="24"/>
        </w:rPr>
        <w:lastRenderedPageBreak/>
        <w:t xml:space="preserve">commercial banks’ credit to non-oil exporters and openness to trade has significant negative impact on non-oil export performance while monetary policy rate has significant positive impact. The high cost of financing, which mostly prohibits non-oil exporting enterprises from modernizing out-of-date facilities and machinery, can be the cause of the significant negative coefficient of commercial banks' loan to non-oil exporters. This causes low quality goods for non-oil exports. In addition, low amount disbursed to non-oil export sector significantly contribute to its low growth over time. </w:t>
      </w:r>
    </w:p>
    <w:p w:rsidR="00C11B0D" w:rsidRPr="00F2002E" w:rsidRDefault="00C11B0D" w:rsidP="00C11B0D">
      <w:pPr>
        <w:pStyle w:val="T1"/>
      </w:pPr>
      <w:bookmarkStart w:id="45" w:name="_Toc97822418"/>
      <w:bookmarkStart w:id="46" w:name="_Toc115647342"/>
      <w:r>
        <w:rPr>
          <w:bCs/>
        </w:rPr>
        <w:t>Table 8</w:t>
      </w:r>
      <w:r w:rsidRPr="00F2002E">
        <w:rPr>
          <w:bCs/>
        </w:rPr>
        <w:t xml:space="preserve">: </w:t>
      </w:r>
      <w:r w:rsidRPr="00F2002E">
        <w:t>ARDL long-run coefficients estimate</w:t>
      </w:r>
      <w:bookmarkEnd w:id="45"/>
      <w:bookmarkEnd w:id="46"/>
    </w:p>
    <w:tbl>
      <w:tblPr>
        <w:tblStyle w:val="TableGrid"/>
        <w:tblW w:w="11250" w:type="dxa"/>
        <w:tblInd w:w="-1085" w:type="dxa"/>
        <w:tblLook w:val="04A0" w:firstRow="1" w:lastRow="0" w:firstColumn="1" w:lastColumn="0" w:noHBand="0" w:noVBand="1"/>
      </w:tblPr>
      <w:tblGrid>
        <w:gridCol w:w="2070"/>
        <w:gridCol w:w="2250"/>
        <w:gridCol w:w="2340"/>
        <w:gridCol w:w="2207"/>
        <w:gridCol w:w="2383"/>
      </w:tblGrid>
      <w:tr w:rsidR="00C11B0D" w:rsidRPr="00F2002E" w:rsidTr="00FE4F82">
        <w:tc>
          <w:tcPr>
            <w:tcW w:w="2070" w:type="dxa"/>
          </w:tcPr>
          <w:p w:rsidR="00C11B0D" w:rsidRPr="00F2002E" w:rsidRDefault="00C11B0D" w:rsidP="00FE4F82">
            <w:pPr>
              <w:spacing w:after="0"/>
              <w:rPr>
                <w:rFonts w:ascii="Times New Roman" w:hAnsi="Times New Roman" w:cs="Times New Roman"/>
              </w:rPr>
            </w:pPr>
          </w:p>
        </w:tc>
        <w:tc>
          <w:tcPr>
            <w:tcW w:w="2250" w:type="dxa"/>
          </w:tcPr>
          <w:p w:rsidR="00C11B0D" w:rsidRPr="00F2002E" w:rsidRDefault="00C11B0D" w:rsidP="00FE4F82">
            <w:pPr>
              <w:spacing w:after="0"/>
              <w:jc w:val="center"/>
              <w:rPr>
                <w:rFonts w:ascii="Times New Roman" w:hAnsi="Times New Roman" w:cs="Times New Roman"/>
              </w:rPr>
            </w:pPr>
            <w:r w:rsidRPr="00F2002E">
              <w:rPr>
                <w:rFonts w:ascii="Times New Roman" w:hAnsi="Times New Roman" w:cs="Times New Roman"/>
              </w:rPr>
              <w:t>Model 1</w:t>
            </w:r>
          </w:p>
        </w:tc>
        <w:tc>
          <w:tcPr>
            <w:tcW w:w="2340" w:type="dxa"/>
          </w:tcPr>
          <w:p w:rsidR="00C11B0D" w:rsidRPr="00F2002E" w:rsidRDefault="00C11B0D" w:rsidP="00FE4F82">
            <w:pPr>
              <w:spacing w:after="0"/>
              <w:jc w:val="center"/>
              <w:rPr>
                <w:rFonts w:ascii="Times New Roman" w:hAnsi="Times New Roman" w:cs="Times New Roman"/>
                <w:b/>
              </w:rPr>
            </w:pPr>
            <w:r w:rsidRPr="00F2002E">
              <w:rPr>
                <w:rFonts w:ascii="Times New Roman" w:hAnsi="Times New Roman" w:cs="Times New Roman"/>
                <w:b/>
              </w:rPr>
              <w:t>Model 2</w:t>
            </w:r>
          </w:p>
        </w:tc>
        <w:tc>
          <w:tcPr>
            <w:tcW w:w="2207" w:type="dxa"/>
          </w:tcPr>
          <w:p w:rsidR="00C11B0D" w:rsidRPr="00F2002E" w:rsidRDefault="00C11B0D" w:rsidP="00FE4F82">
            <w:pPr>
              <w:spacing w:after="0"/>
              <w:jc w:val="center"/>
              <w:rPr>
                <w:rFonts w:ascii="Times New Roman" w:hAnsi="Times New Roman" w:cs="Times New Roman"/>
              </w:rPr>
            </w:pPr>
            <w:r w:rsidRPr="00F2002E">
              <w:rPr>
                <w:rFonts w:ascii="Times New Roman" w:hAnsi="Times New Roman" w:cs="Times New Roman"/>
              </w:rPr>
              <w:t>Model 3</w:t>
            </w:r>
          </w:p>
        </w:tc>
        <w:tc>
          <w:tcPr>
            <w:tcW w:w="2383" w:type="dxa"/>
          </w:tcPr>
          <w:p w:rsidR="00C11B0D" w:rsidRPr="00F2002E" w:rsidRDefault="00C11B0D" w:rsidP="00FE4F82">
            <w:pPr>
              <w:spacing w:after="0"/>
              <w:jc w:val="center"/>
              <w:rPr>
                <w:rFonts w:ascii="Times New Roman" w:hAnsi="Times New Roman" w:cs="Times New Roman"/>
              </w:rPr>
            </w:pPr>
            <w:r w:rsidRPr="00F2002E">
              <w:rPr>
                <w:rFonts w:ascii="Times New Roman" w:hAnsi="Times New Roman" w:cs="Times New Roman"/>
              </w:rPr>
              <w:t>Model 4</w:t>
            </w:r>
          </w:p>
        </w:tc>
      </w:tr>
      <w:tr w:rsidR="00C11B0D" w:rsidRPr="00F2002E" w:rsidTr="00FE4F82">
        <w:tc>
          <w:tcPr>
            <w:tcW w:w="2070" w:type="dxa"/>
          </w:tcPr>
          <w:p w:rsidR="00C11B0D" w:rsidRPr="00F2002E" w:rsidRDefault="00C11B0D" w:rsidP="00FE4F82">
            <w:pPr>
              <w:spacing w:after="0"/>
              <w:jc w:val="center"/>
              <w:rPr>
                <w:rFonts w:ascii="Times New Roman" w:hAnsi="Times New Roman" w:cs="Times New Roman"/>
              </w:rPr>
            </w:pPr>
            <w:r w:rsidRPr="00F2002E">
              <w:rPr>
                <w:rFonts w:ascii="Times New Roman" w:hAnsi="Times New Roman" w:cs="Times New Roman"/>
              </w:rPr>
              <w:t>Variables</w:t>
            </w:r>
          </w:p>
        </w:tc>
        <w:tc>
          <w:tcPr>
            <w:tcW w:w="2250" w:type="dxa"/>
          </w:tcPr>
          <w:p w:rsidR="00C11B0D" w:rsidRPr="00F2002E" w:rsidRDefault="00C11B0D" w:rsidP="00FE4F82">
            <w:pPr>
              <w:spacing w:after="0"/>
              <w:jc w:val="center"/>
              <w:rPr>
                <w:rFonts w:ascii="Times New Roman" w:hAnsi="Times New Roman" w:cs="Times New Roman"/>
              </w:rPr>
            </w:pPr>
            <w:r w:rsidRPr="00F2002E">
              <w:rPr>
                <w:rFonts w:ascii="Times New Roman" w:hAnsi="Times New Roman" w:cs="Times New Roman"/>
                <w:color w:val="000000"/>
              </w:rPr>
              <w:t>LTNOE</w:t>
            </w:r>
          </w:p>
        </w:tc>
        <w:tc>
          <w:tcPr>
            <w:tcW w:w="2340" w:type="dxa"/>
          </w:tcPr>
          <w:p w:rsidR="00C11B0D" w:rsidRPr="00F2002E" w:rsidRDefault="00C11B0D" w:rsidP="00FE4F82">
            <w:pPr>
              <w:spacing w:after="0"/>
              <w:jc w:val="center"/>
              <w:rPr>
                <w:rFonts w:ascii="Times New Roman" w:hAnsi="Times New Roman" w:cs="Times New Roman"/>
                <w:b/>
              </w:rPr>
            </w:pPr>
            <w:r w:rsidRPr="00F2002E">
              <w:rPr>
                <w:rFonts w:ascii="Times New Roman" w:hAnsi="Times New Roman" w:cs="Times New Roman"/>
                <w:color w:val="000000"/>
              </w:rPr>
              <w:t>TNOE/GDP</w:t>
            </w:r>
          </w:p>
        </w:tc>
        <w:tc>
          <w:tcPr>
            <w:tcW w:w="2207" w:type="dxa"/>
          </w:tcPr>
          <w:p w:rsidR="00C11B0D" w:rsidRPr="00F2002E" w:rsidRDefault="00C11B0D" w:rsidP="00FE4F82">
            <w:pPr>
              <w:spacing w:after="0"/>
              <w:jc w:val="center"/>
              <w:rPr>
                <w:rFonts w:ascii="Times New Roman" w:hAnsi="Times New Roman" w:cs="Times New Roman"/>
              </w:rPr>
            </w:pPr>
            <w:r w:rsidRPr="00F2002E">
              <w:rPr>
                <w:rFonts w:ascii="Times New Roman" w:hAnsi="Times New Roman" w:cs="Times New Roman"/>
                <w:color w:val="000000"/>
              </w:rPr>
              <w:t>TNOE/TE</w:t>
            </w:r>
          </w:p>
        </w:tc>
        <w:tc>
          <w:tcPr>
            <w:tcW w:w="2383" w:type="dxa"/>
          </w:tcPr>
          <w:p w:rsidR="00C11B0D" w:rsidRPr="00F2002E" w:rsidRDefault="00C11B0D" w:rsidP="00FE4F82">
            <w:pPr>
              <w:spacing w:after="0"/>
              <w:jc w:val="center"/>
              <w:rPr>
                <w:rFonts w:ascii="Times New Roman" w:hAnsi="Times New Roman" w:cs="Times New Roman"/>
              </w:rPr>
            </w:pPr>
            <w:r w:rsidRPr="00F2002E">
              <w:rPr>
                <w:rFonts w:ascii="Times New Roman" w:hAnsi="Times New Roman" w:cs="Times New Roman"/>
                <w:color w:val="000000"/>
              </w:rPr>
              <w:t>GR_TNOE</w:t>
            </w:r>
          </w:p>
        </w:tc>
      </w:tr>
      <w:tr w:rsidR="00C11B0D" w:rsidRPr="00F2002E" w:rsidTr="00FE4F82">
        <w:tc>
          <w:tcPr>
            <w:tcW w:w="2070" w:type="dxa"/>
          </w:tcPr>
          <w:p w:rsidR="00C11B0D" w:rsidRPr="00F2002E" w:rsidRDefault="00C11B0D" w:rsidP="00FE4F82">
            <w:pPr>
              <w:spacing w:after="0"/>
              <w:jc w:val="center"/>
              <w:rPr>
                <w:rFonts w:ascii="Times New Roman" w:hAnsi="Times New Roman" w:cs="Times New Roman"/>
              </w:rPr>
            </w:pPr>
            <w:r w:rsidRPr="00F2002E">
              <w:rPr>
                <w:rFonts w:ascii="Times New Roman" w:hAnsi="Times New Roman" w:cs="Times New Roman"/>
                <w:color w:val="000000"/>
              </w:rPr>
              <w:t>LCBEC/CBEC</w:t>
            </w:r>
          </w:p>
        </w:tc>
        <w:tc>
          <w:tcPr>
            <w:tcW w:w="2250" w:type="dxa"/>
          </w:tcPr>
          <w:p w:rsidR="00C11B0D" w:rsidRPr="00F2002E" w:rsidRDefault="00C11B0D" w:rsidP="00FE4F82">
            <w:pPr>
              <w:spacing w:after="0"/>
              <w:jc w:val="center"/>
              <w:rPr>
                <w:rFonts w:ascii="Times New Roman" w:hAnsi="Times New Roman" w:cs="Times New Roman"/>
              </w:rPr>
            </w:pPr>
            <w:r w:rsidRPr="00F2002E">
              <w:rPr>
                <w:rFonts w:ascii="Times New Roman" w:hAnsi="Times New Roman" w:cs="Times New Roman"/>
              </w:rPr>
              <w:t>0.329 (0101)***</w:t>
            </w:r>
          </w:p>
        </w:tc>
        <w:tc>
          <w:tcPr>
            <w:tcW w:w="2340" w:type="dxa"/>
          </w:tcPr>
          <w:p w:rsidR="00C11B0D" w:rsidRPr="00F2002E" w:rsidRDefault="00C11B0D" w:rsidP="00FE4F82">
            <w:pPr>
              <w:spacing w:after="0"/>
              <w:jc w:val="center"/>
              <w:rPr>
                <w:rFonts w:ascii="Times New Roman" w:hAnsi="Times New Roman" w:cs="Times New Roman"/>
              </w:rPr>
            </w:pPr>
            <w:r w:rsidRPr="00F2002E">
              <w:rPr>
                <w:rFonts w:ascii="Times New Roman" w:hAnsi="Times New Roman" w:cs="Times New Roman"/>
              </w:rPr>
              <w:t>2.427 (1.728)</w:t>
            </w:r>
          </w:p>
        </w:tc>
        <w:tc>
          <w:tcPr>
            <w:tcW w:w="2207" w:type="dxa"/>
          </w:tcPr>
          <w:p w:rsidR="00C11B0D" w:rsidRPr="00F2002E" w:rsidRDefault="00C11B0D" w:rsidP="00FE4F82">
            <w:pPr>
              <w:spacing w:after="0"/>
              <w:jc w:val="center"/>
              <w:rPr>
                <w:rFonts w:ascii="Times New Roman" w:hAnsi="Times New Roman" w:cs="Times New Roman"/>
              </w:rPr>
            </w:pPr>
            <w:r w:rsidRPr="00F2002E">
              <w:rPr>
                <w:rFonts w:ascii="Times New Roman" w:hAnsi="Times New Roman" w:cs="Times New Roman"/>
              </w:rPr>
              <w:t>3.864 (4.106)</w:t>
            </w:r>
          </w:p>
        </w:tc>
        <w:tc>
          <w:tcPr>
            <w:tcW w:w="2383" w:type="dxa"/>
          </w:tcPr>
          <w:p w:rsidR="00C11B0D" w:rsidRPr="00F2002E" w:rsidRDefault="00C11B0D" w:rsidP="00FE4F82">
            <w:pPr>
              <w:spacing w:after="0"/>
              <w:jc w:val="center"/>
              <w:rPr>
                <w:rFonts w:ascii="Times New Roman" w:hAnsi="Times New Roman" w:cs="Times New Roman"/>
              </w:rPr>
            </w:pPr>
            <w:r w:rsidRPr="00F2002E">
              <w:rPr>
                <w:rFonts w:ascii="Times New Roman" w:hAnsi="Times New Roman" w:cs="Times New Roman"/>
              </w:rPr>
              <w:t>-0.240 (0.081)***</w:t>
            </w:r>
          </w:p>
        </w:tc>
      </w:tr>
      <w:tr w:rsidR="00C11B0D" w:rsidRPr="00F2002E" w:rsidTr="00FE4F82">
        <w:tc>
          <w:tcPr>
            <w:tcW w:w="2070" w:type="dxa"/>
          </w:tcPr>
          <w:p w:rsidR="00C11B0D" w:rsidRPr="00F2002E" w:rsidRDefault="00C11B0D" w:rsidP="00FE4F82">
            <w:pPr>
              <w:spacing w:after="0"/>
              <w:jc w:val="center"/>
              <w:rPr>
                <w:rFonts w:ascii="Times New Roman" w:hAnsi="Times New Roman" w:cs="Times New Roman"/>
              </w:rPr>
            </w:pPr>
            <w:r w:rsidRPr="00F2002E">
              <w:rPr>
                <w:rFonts w:ascii="Times New Roman" w:hAnsi="Times New Roman" w:cs="Times New Roman"/>
                <w:color w:val="000000"/>
              </w:rPr>
              <w:t>LEXCR/EXCR</w:t>
            </w:r>
          </w:p>
        </w:tc>
        <w:tc>
          <w:tcPr>
            <w:tcW w:w="2250" w:type="dxa"/>
          </w:tcPr>
          <w:p w:rsidR="00C11B0D" w:rsidRPr="00F2002E" w:rsidRDefault="00C11B0D" w:rsidP="00FE4F82">
            <w:pPr>
              <w:spacing w:after="0"/>
              <w:jc w:val="center"/>
              <w:rPr>
                <w:rFonts w:ascii="Times New Roman" w:hAnsi="Times New Roman" w:cs="Times New Roman"/>
              </w:rPr>
            </w:pPr>
            <w:r w:rsidRPr="00F2002E">
              <w:rPr>
                <w:rFonts w:ascii="Times New Roman" w:hAnsi="Times New Roman" w:cs="Times New Roman"/>
              </w:rPr>
              <w:t>-0.017 (0.198)</w:t>
            </w:r>
          </w:p>
        </w:tc>
        <w:tc>
          <w:tcPr>
            <w:tcW w:w="2340" w:type="dxa"/>
          </w:tcPr>
          <w:p w:rsidR="00C11B0D" w:rsidRPr="00F2002E" w:rsidRDefault="00C11B0D" w:rsidP="00FE4F82">
            <w:pPr>
              <w:spacing w:after="0"/>
              <w:jc w:val="center"/>
              <w:rPr>
                <w:rFonts w:ascii="Times New Roman" w:hAnsi="Times New Roman" w:cs="Times New Roman"/>
              </w:rPr>
            </w:pPr>
            <w:r w:rsidRPr="00F2002E">
              <w:rPr>
                <w:rFonts w:ascii="Times New Roman" w:hAnsi="Times New Roman" w:cs="Times New Roman"/>
              </w:rPr>
              <w:t>-1.050 (7.126)</w:t>
            </w:r>
          </w:p>
        </w:tc>
        <w:tc>
          <w:tcPr>
            <w:tcW w:w="2207" w:type="dxa"/>
          </w:tcPr>
          <w:p w:rsidR="00C11B0D" w:rsidRPr="00F2002E" w:rsidRDefault="00C11B0D" w:rsidP="00FE4F82">
            <w:pPr>
              <w:spacing w:after="0"/>
              <w:jc w:val="center"/>
              <w:rPr>
                <w:rFonts w:ascii="Times New Roman" w:hAnsi="Times New Roman" w:cs="Times New Roman"/>
              </w:rPr>
            </w:pPr>
            <w:r w:rsidRPr="00F2002E">
              <w:rPr>
                <w:rFonts w:ascii="Times New Roman" w:hAnsi="Times New Roman" w:cs="Times New Roman"/>
              </w:rPr>
              <w:t>0.051 (0.027)*</w:t>
            </w:r>
          </w:p>
        </w:tc>
        <w:tc>
          <w:tcPr>
            <w:tcW w:w="2383" w:type="dxa"/>
          </w:tcPr>
          <w:p w:rsidR="00C11B0D" w:rsidRPr="00F2002E" w:rsidRDefault="00C11B0D" w:rsidP="00FE4F82">
            <w:pPr>
              <w:spacing w:after="0"/>
              <w:jc w:val="center"/>
              <w:rPr>
                <w:rFonts w:ascii="Times New Roman" w:hAnsi="Times New Roman" w:cs="Times New Roman"/>
              </w:rPr>
            </w:pPr>
            <w:r w:rsidRPr="00F2002E">
              <w:rPr>
                <w:rFonts w:ascii="Times New Roman" w:hAnsi="Times New Roman" w:cs="Times New Roman"/>
              </w:rPr>
              <w:t>0.592 (0.372)</w:t>
            </w:r>
          </w:p>
        </w:tc>
      </w:tr>
      <w:tr w:rsidR="00C11B0D" w:rsidRPr="00F2002E" w:rsidTr="00FE4F82">
        <w:tc>
          <w:tcPr>
            <w:tcW w:w="2070" w:type="dxa"/>
          </w:tcPr>
          <w:p w:rsidR="00C11B0D" w:rsidRPr="00F2002E" w:rsidRDefault="00C11B0D" w:rsidP="00FE4F82">
            <w:pPr>
              <w:spacing w:after="0"/>
              <w:jc w:val="center"/>
              <w:rPr>
                <w:rFonts w:ascii="Times New Roman" w:hAnsi="Times New Roman" w:cs="Times New Roman"/>
              </w:rPr>
            </w:pPr>
            <w:r w:rsidRPr="00F2002E">
              <w:rPr>
                <w:rFonts w:ascii="Times New Roman" w:hAnsi="Times New Roman" w:cs="Times New Roman"/>
                <w:color w:val="000000"/>
              </w:rPr>
              <w:t>MPR</w:t>
            </w:r>
          </w:p>
        </w:tc>
        <w:tc>
          <w:tcPr>
            <w:tcW w:w="2250" w:type="dxa"/>
          </w:tcPr>
          <w:p w:rsidR="00C11B0D" w:rsidRPr="00F2002E" w:rsidRDefault="00C11B0D" w:rsidP="00FE4F82">
            <w:pPr>
              <w:spacing w:after="0"/>
              <w:jc w:val="center"/>
              <w:rPr>
                <w:rFonts w:ascii="Times New Roman" w:hAnsi="Times New Roman" w:cs="Times New Roman"/>
              </w:rPr>
            </w:pPr>
            <w:r w:rsidRPr="00F2002E">
              <w:rPr>
                <w:rFonts w:ascii="Times New Roman" w:hAnsi="Times New Roman" w:cs="Times New Roman"/>
              </w:rPr>
              <w:t>-0.061 (0.021)***</w:t>
            </w:r>
          </w:p>
        </w:tc>
        <w:tc>
          <w:tcPr>
            <w:tcW w:w="2340" w:type="dxa"/>
          </w:tcPr>
          <w:p w:rsidR="00C11B0D" w:rsidRPr="00F2002E" w:rsidRDefault="00C11B0D" w:rsidP="00FE4F82">
            <w:pPr>
              <w:spacing w:after="0"/>
              <w:jc w:val="center"/>
              <w:rPr>
                <w:rFonts w:ascii="Times New Roman" w:hAnsi="Times New Roman" w:cs="Times New Roman"/>
              </w:rPr>
            </w:pPr>
            <w:r w:rsidRPr="00F2002E">
              <w:rPr>
                <w:rFonts w:ascii="Times New Roman" w:hAnsi="Times New Roman" w:cs="Times New Roman"/>
              </w:rPr>
              <w:t>16.424 (27.202)</w:t>
            </w:r>
          </w:p>
        </w:tc>
        <w:tc>
          <w:tcPr>
            <w:tcW w:w="2207" w:type="dxa"/>
          </w:tcPr>
          <w:p w:rsidR="00C11B0D" w:rsidRPr="00F2002E" w:rsidRDefault="00C11B0D" w:rsidP="00FE4F82">
            <w:pPr>
              <w:spacing w:after="0"/>
              <w:jc w:val="center"/>
              <w:rPr>
                <w:rFonts w:ascii="Times New Roman" w:hAnsi="Times New Roman" w:cs="Times New Roman"/>
              </w:rPr>
            </w:pPr>
            <w:r w:rsidRPr="00F2002E">
              <w:rPr>
                <w:rFonts w:ascii="Times New Roman" w:hAnsi="Times New Roman" w:cs="Times New Roman"/>
              </w:rPr>
              <w:t>-0.411 (0.645)</w:t>
            </w:r>
          </w:p>
        </w:tc>
        <w:tc>
          <w:tcPr>
            <w:tcW w:w="2383" w:type="dxa"/>
          </w:tcPr>
          <w:p w:rsidR="00C11B0D" w:rsidRPr="00F2002E" w:rsidRDefault="00C11B0D" w:rsidP="00FE4F82">
            <w:pPr>
              <w:spacing w:after="0"/>
              <w:jc w:val="center"/>
              <w:rPr>
                <w:rFonts w:ascii="Times New Roman" w:hAnsi="Times New Roman" w:cs="Times New Roman"/>
              </w:rPr>
            </w:pPr>
            <w:r w:rsidRPr="00F2002E">
              <w:rPr>
                <w:rFonts w:ascii="Times New Roman" w:hAnsi="Times New Roman" w:cs="Times New Roman"/>
              </w:rPr>
              <w:t>9.356 (5.365)*</w:t>
            </w:r>
          </w:p>
        </w:tc>
      </w:tr>
      <w:tr w:rsidR="00C11B0D" w:rsidRPr="00F2002E" w:rsidTr="00FE4F82">
        <w:tc>
          <w:tcPr>
            <w:tcW w:w="2070" w:type="dxa"/>
            <w:vAlign w:val="bottom"/>
          </w:tcPr>
          <w:p w:rsidR="00C11B0D" w:rsidRPr="00F2002E" w:rsidRDefault="00C11B0D" w:rsidP="00FE4F82">
            <w:pPr>
              <w:autoSpaceDE w:val="0"/>
              <w:autoSpaceDN w:val="0"/>
              <w:adjustRightInd w:val="0"/>
              <w:spacing w:after="0"/>
              <w:jc w:val="center"/>
              <w:rPr>
                <w:rFonts w:ascii="Times New Roman" w:hAnsi="Times New Roman" w:cs="Times New Roman"/>
                <w:color w:val="000000"/>
              </w:rPr>
            </w:pPr>
            <w:r w:rsidRPr="00F2002E">
              <w:rPr>
                <w:rFonts w:ascii="Times New Roman" w:hAnsi="Times New Roman" w:cs="Times New Roman"/>
                <w:color w:val="000000"/>
              </w:rPr>
              <w:t>INFR</w:t>
            </w:r>
          </w:p>
        </w:tc>
        <w:tc>
          <w:tcPr>
            <w:tcW w:w="2250" w:type="dxa"/>
          </w:tcPr>
          <w:p w:rsidR="00C11B0D" w:rsidRPr="00F2002E" w:rsidRDefault="00C11B0D" w:rsidP="00FE4F82">
            <w:pPr>
              <w:spacing w:after="0"/>
              <w:jc w:val="center"/>
              <w:rPr>
                <w:rFonts w:ascii="Times New Roman" w:hAnsi="Times New Roman" w:cs="Times New Roman"/>
              </w:rPr>
            </w:pPr>
            <w:r w:rsidRPr="00F2002E">
              <w:rPr>
                <w:rFonts w:ascii="Times New Roman" w:hAnsi="Times New Roman" w:cs="Times New Roman"/>
              </w:rPr>
              <w:t>0.009 (0.006)</w:t>
            </w:r>
          </w:p>
        </w:tc>
        <w:tc>
          <w:tcPr>
            <w:tcW w:w="2340" w:type="dxa"/>
          </w:tcPr>
          <w:p w:rsidR="00C11B0D" w:rsidRPr="00F2002E" w:rsidRDefault="00C11B0D" w:rsidP="00FE4F82">
            <w:pPr>
              <w:spacing w:after="0"/>
              <w:jc w:val="center"/>
              <w:rPr>
                <w:rFonts w:ascii="Times New Roman" w:hAnsi="Times New Roman" w:cs="Times New Roman"/>
              </w:rPr>
            </w:pPr>
            <w:r w:rsidRPr="00F2002E">
              <w:rPr>
                <w:rFonts w:ascii="Times New Roman" w:hAnsi="Times New Roman" w:cs="Times New Roman"/>
              </w:rPr>
              <w:t>-9.258 (6.313)</w:t>
            </w:r>
          </w:p>
        </w:tc>
        <w:tc>
          <w:tcPr>
            <w:tcW w:w="2207" w:type="dxa"/>
          </w:tcPr>
          <w:p w:rsidR="00C11B0D" w:rsidRPr="00F2002E" w:rsidRDefault="00C11B0D" w:rsidP="00FE4F82">
            <w:pPr>
              <w:spacing w:after="0"/>
              <w:jc w:val="center"/>
              <w:rPr>
                <w:rFonts w:ascii="Times New Roman" w:hAnsi="Times New Roman" w:cs="Times New Roman"/>
              </w:rPr>
            </w:pPr>
            <w:r w:rsidRPr="00F2002E">
              <w:rPr>
                <w:rFonts w:ascii="Times New Roman" w:hAnsi="Times New Roman" w:cs="Times New Roman"/>
              </w:rPr>
              <w:t>-0.097 (0.124)</w:t>
            </w:r>
          </w:p>
        </w:tc>
        <w:tc>
          <w:tcPr>
            <w:tcW w:w="2383" w:type="dxa"/>
          </w:tcPr>
          <w:p w:rsidR="00C11B0D" w:rsidRPr="00F2002E" w:rsidRDefault="00C11B0D" w:rsidP="00FE4F82">
            <w:pPr>
              <w:spacing w:after="0"/>
              <w:jc w:val="center"/>
              <w:rPr>
                <w:rFonts w:ascii="Times New Roman" w:hAnsi="Times New Roman" w:cs="Times New Roman"/>
              </w:rPr>
            </w:pPr>
            <w:r w:rsidRPr="00F2002E">
              <w:rPr>
                <w:rFonts w:ascii="Times New Roman" w:hAnsi="Times New Roman" w:cs="Times New Roman"/>
              </w:rPr>
              <w:t>-0.395 (1.037)</w:t>
            </w:r>
          </w:p>
        </w:tc>
      </w:tr>
      <w:tr w:rsidR="00C11B0D" w:rsidRPr="00F2002E" w:rsidTr="00FE4F82">
        <w:tc>
          <w:tcPr>
            <w:tcW w:w="2070" w:type="dxa"/>
            <w:vAlign w:val="bottom"/>
          </w:tcPr>
          <w:p w:rsidR="00C11B0D" w:rsidRPr="00F2002E" w:rsidRDefault="00C11B0D" w:rsidP="00FE4F82">
            <w:pPr>
              <w:autoSpaceDE w:val="0"/>
              <w:autoSpaceDN w:val="0"/>
              <w:adjustRightInd w:val="0"/>
              <w:spacing w:after="0"/>
              <w:jc w:val="center"/>
              <w:rPr>
                <w:rFonts w:ascii="Times New Roman" w:hAnsi="Times New Roman" w:cs="Times New Roman"/>
                <w:color w:val="000000"/>
              </w:rPr>
            </w:pPr>
            <w:r w:rsidRPr="00F2002E">
              <w:rPr>
                <w:rFonts w:ascii="Times New Roman" w:hAnsi="Times New Roman" w:cs="Times New Roman"/>
                <w:color w:val="000000"/>
              </w:rPr>
              <w:t>LOPEN/OPEN</w:t>
            </w:r>
          </w:p>
        </w:tc>
        <w:tc>
          <w:tcPr>
            <w:tcW w:w="2250" w:type="dxa"/>
          </w:tcPr>
          <w:p w:rsidR="00C11B0D" w:rsidRPr="00F2002E" w:rsidRDefault="00C11B0D" w:rsidP="00FE4F82">
            <w:pPr>
              <w:spacing w:after="0"/>
              <w:jc w:val="center"/>
              <w:rPr>
                <w:rFonts w:ascii="Times New Roman" w:hAnsi="Times New Roman" w:cs="Times New Roman"/>
              </w:rPr>
            </w:pPr>
            <w:r w:rsidRPr="00F2002E">
              <w:rPr>
                <w:rFonts w:ascii="Times New Roman" w:hAnsi="Times New Roman" w:cs="Times New Roman"/>
              </w:rPr>
              <w:t>0.882 (0.365)**</w:t>
            </w:r>
          </w:p>
        </w:tc>
        <w:tc>
          <w:tcPr>
            <w:tcW w:w="2340" w:type="dxa"/>
          </w:tcPr>
          <w:p w:rsidR="00C11B0D" w:rsidRPr="00F2002E" w:rsidRDefault="00C11B0D" w:rsidP="00FE4F82">
            <w:pPr>
              <w:spacing w:after="0"/>
              <w:jc w:val="center"/>
              <w:rPr>
                <w:rFonts w:ascii="Times New Roman" w:hAnsi="Times New Roman" w:cs="Times New Roman"/>
              </w:rPr>
            </w:pPr>
            <w:r w:rsidRPr="00F2002E">
              <w:rPr>
                <w:rFonts w:ascii="Times New Roman" w:hAnsi="Times New Roman" w:cs="Times New Roman"/>
              </w:rPr>
              <w:t>18.229 (14.835)</w:t>
            </w:r>
          </w:p>
        </w:tc>
        <w:tc>
          <w:tcPr>
            <w:tcW w:w="2207" w:type="dxa"/>
          </w:tcPr>
          <w:p w:rsidR="00C11B0D" w:rsidRPr="00F2002E" w:rsidRDefault="00C11B0D" w:rsidP="00FE4F82">
            <w:pPr>
              <w:spacing w:after="0"/>
              <w:jc w:val="center"/>
              <w:rPr>
                <w:rFonts w:ascii="Times New Roman" w:hAnsi="Times New Roman" w:cs="Times New Roman"/>
              </w:rPr>
            </w:pPr>
            <w:r w:rsidRPr="00F2002E">
              <w:rPr>
                <w:rFonts w:ascii="Times New Roman" w:hAnsi="Times New Roman" w:cs="Times New Roman"/>
              </w:rPr>
              <w:t>-0.349 (0.276)</w:t>
            </w:r>
          </w:p>
        </w:tc>
        <w:tc>
          <w:tcPr>
            <w:tcW w:w="2383" w:type="dxa"/>
          </w:tcPr>
          <w:p w:rsidR="00C11B0D" w:rsidRPr="00F2002E" w:rsidRDefault="00C11B0D" w:rsidP="00FE4F82">
            <w:pPr>
              <w:spacing w:after="0"/>
              <w:jc w:val="center"/>
              <w:rPr>
                <w:rFonts w:ascii="Times New Roman" w:hAnsi="Times New Roman" w:cs="Times New Roman"/>
              </w:rPr>
            </w:pPr>
            <w:r w:rsidRPr="00F2002E">
              <w:rPr>
                <w:rFonts w:ascii="Times New Roman" w:hAnsi="Times New Roman" w:cs="Times New Roman"/>
              </w:rPr>
              <w:t>-4.629 (1.562)***</w:t>
            </w:r>
          </w:p>
        </w:tc>
      </w:tr>
      <w:tr w:rsidR="00C11B0D" w:rsidRPr="00F2002E" w:rsidTr="00FE4F82">
        <w:tc>
          <w:tcPr>
            <w:tcW w:w="2070" w:type="dxa"/>
            <w:vAlign w:val="bottom"/>
          </w:tcPr>
          <w:p w:rsidR="00C11B0D" w:rsidRPr="00F2002E" w:rsidRDefault="00C11B0D" w:rsidP="00FE4F82">
            <w:pPr>
              <w:autoSpaceDE w:val="0"/>
              <w:autoSpaceDN w:val="0"/>
              <w:adjustRightInd w:val="0"/>
              <w:spacing w:after="0"/>
              <w:jc w:val="center"/>
              <w:rPr>
                <w:rFonts w:ascii="Times New Roman" w:hAnsi="Times New Roman" w:cs="Times New Roman"/>
                <w:color w:val="000000"/>
              </w:rPr>
            </w:pPr>
            <w:r w:rsidRPr="00F2002E">
              <w:rPr>
                <w:rFonts w:ascii="Times New Roman" w:hAnsi="Times New Roman" w:cs="Times New Roman"/>
                <w:color w:val="000000"/>
              </w:rPr>
              <w:t>LRGDP/RGDP</w:t>
            </w:r>
          </w:p>
        </w:tc>
        <w:tc>
          <w:tcPr>
            <w:tcW w:w="2250" w:type="dxa"/>
          </w:tcPr>
          <w:p w:rsidR="00C11B0D" w:rsidRPr="00F2002E" w:rsidRDefault="00C11B0D" w:rsidP="00FE4F82">
            <w:pPr>
              <w:spacing w:after="0"/>
              <w:jc w:val="center"/>
              <w:rPr>
                <w:rFonts w:ascii="Times New Roman" w:hAnsi="Times New Roman" w:cs="Times New Roman"/>
              </w:rPr>
            </w:pPr>
            <w:r w:rsidRPr="00F2002E">
              <w:rPr>
                <w:rFonts w:ascii="Times New Roman" w:hAnsi="Times New Roman" w:cs="Times New Roman"/>
              </w:rPr>
              <w:t>3.138 (0.425)***</w:t>
            </w:r>
          </w:p>
        </w:tc>
        <w:tc>
          <w:tcPr>
            <w:tcW w:w="2340" w:type="dxa"/>
          </w:tcPr>
          <w:p w:rsidR="00C11B0D" w:rsidRPr="00F2002E" w:rsidRDefault="00C11B0D" w:rsidP="00FE4F82">
            <w:pPr>
              <w:spacing w:after="0"/>
              <w:jc w:val="center"/>
              <w:rPr>
                <w:rFonts w:ascii="Times New Roman" w:hAnsi="Times New Roman" w:cs="Times New Roman"/>
              </w:rPr>
            </w:pPr>
            <w:r w:rsidRPr="00F2002E">
              <w:rPr>
                <w:rFonts w:ascii="Times New Roman" w:hAnsi="Times New Roman" w:cs="Times New Roman"/>
              </w:rPr>
              <w:t>0.038 (0.017)**</w:t>
            </w:r>
          </w:p>
        </w:tc>
        <w:tc>
          <w:tcPr>
            <w:tcW w:w="2207" w:type="dxa"/>
          </w:tcPr>
          <w:p w:rsidR="00C11B0D" w:rsidRPr="00F2002E" w:rsidRDefault="00C11B0D" w:rsidP="00FE4F82">
            <w:pPr>
              <w:spacing w:after="0"/>
              <w:jc w:val="center"/>
              <w:rPr>
                <w:rFonts w:ascii="Times New Roman" w:hAnsi="Times New Roman" w:cs="Times New Roman"/>
              </w:rPr>
            </w:pPr>
            <w:r w:rsidRPr="00F2002E">
              <w:rPr>
                <w:rFonts w:ascii="Times New Roman" w:hAnsi="Times New Roman" w:cs="Times New Roman"/>
              </w:rPr>
              <w:t>-13.605 (13.617)</w:t>
            </w:r>
          </w:p>
        </w:tc>
        <w:tc>
          <w:tcPr>
            <w:tcW w:w="2383" w:type="dxa"/>
          </w:tcPr>
          <w:p w:rsidR="00C11B0D" w:rsidRPr="00F2002E" w:rsidRDefault="00C11B0D" w:rsidP="00FE4F82">
            <w:pPr>
              <w:spacing w:after="0"/>
              <w:jc w:val="center"/>
              <w:rPr>
                <w:rFonts w:ascii="Times New Roman" w:hAnsi="Times New Roman" w:cs="Times New Roman"/>
              </w:rPr>
            </w:pPr>
            <w:r w:rsidRPr="00F2002E">
              <w:rPr>
                <w:rFonts w:ascii="Times New Roman" w:hAnsi="Times New Roman" w:cs="Times New Roman"/>
              </w:rPr>
              <w:t>0.002 (0.001)</w:t>
            </w:r>
          </w:p>
        </w:tc>
      </w:tr>
      <w:tr w:rsidR="00C11B0D" w:rsidRPr="00F2002E" w:rsidTr="00FE4F82">
        <w:tc>
          <w:tcPr>
            <w:tcW w:w="2070" w:type="dxa"/>
            <w:vAlign w:val="bottom"/>
          </w:tcPr>
          <w:p w:rsidR="00C11B0D" w:rsidRPr="00F2002E" w:rsidRDefault="00C11B0D" w:rsidP="00FE4F82">
            <w:pPr>
              <w:autoSpaceDE w:val="0"/>
              <w:autoSpaceDN w:val="0"/>
              <w:adjustRightInd w:val="0"/>
              <w:spacing w:after="0"/>
              <w:jc w:val="center"/>
              <w:rPr>
                <w:rFonts w:ascii="Times New Roman" w:hAnsi="Times New Roman" w:cs="Times New Roman"/>
                <w:color w:val="000000"/>
              </w:rPr>
            </w:pPr>
            <w:r w:rsidRPr="00F2002E">
              <w:rPr>
                <w:rFonts w:ascii="Times New Roman" w:hAnsi="Times New Roman" w:cs="Times New Roman"/>
                <w:color w:val="000000"/>
              </w:rPr>
              <w:t>C</w:t>
            </w:r>
          </w:p>
        </w:tc>
        <w:tc>
          <w:tcPr>
            <w:tcW w:w="2250" w:type="dxa"/>
          </w:tcPr>
          <w:p w:rsidR="00C11B0D" w:rsidRPr="00F2002E" w:rsidRDefault="00C11B0D" w:rsidP="00FE4F82">
            <w:pPr>
              <w:spacing w:after="0"/>
              <w:jc w:val="center"/>
              <w:rPr>
                <w:rFonts w:ascii="Times New Roman" w:hAnsi="Times New Roman" w:cs="Times New Roman"/>
              </w:rPr>
            </w:pPr>
            <w:r w:rsidRPr="00F2002E">
              <w:rPr>
                <w:rFonts w:ascii="Times New Roman" w:hAnsi="Times New Roman" w:cs="Times New Roman"/>
              </w:rPr>
              <w:t>-25.228 (4.805)***</w:t>
            </w:r>
          </w:p>
        </w:tc>
        <w:tc>
          <w:tcPr>
            <w:tcW w:w="2340" w:type="dxa"/>
          </w:tcPr>
          <w:p w:rsidR="00C11B0D" w:rsidRPr="00F2002E" w:rsidRDefault="00C11B0D" w:rsidP="00FE4F82">
            <w:pPr>
              <w:spacing w:after="0"/>
              <w:jc w:val="center"/>
              <w:rPr>
                <w:rFonts w:ascii="Times New Roman" w:hAnsi="Times New Roman" w:cs="Times New Roman"/>
              </w:rPr>
            </w:pPr>
            <w:r w:rsidRPr="00F2002E">
              <w:rPr>
                <w:rFonts w:ascii="Times New Roman" w:hAnsi="Times New Roman" w:cs="Times New Roman"/>
              </w:rPr>
              <w:t>-1121.07 (620.60)*</w:t>
            </w:r>
          </w:p>
        </w:tc>
        <w:tc>
          <w:tcPr>
            <w:tcW w:w="2207" w:type="dxa"/>
          </w:tcPr>
          <w:p w:rsidR="00C11B0D" w:rsidRPr="00F2002E" w:rsidRDefault="00C11B0D" w:rsidP="00FE4F82">
            <w:pPr>
              <w:spacing w:after="0"/>
              <w:jc w:val="center"/>
              <w:rPr>
                <w:rFonts w:ascii="Times New Roman" w:hAnsi="Times New Roman" w:cs="Times New Roman"/>
              </w:rPr>
            </w:pPr>
            <w:r w:rsidRPr="00F2002E">
              <w:rPr>
                <w:rFonts w:ascii="Times New Roman" w:hAnsi="Times New Roman" w:cs="Times New Roman"/>
              </w:rPr>
              <w:t>155.24 (148.43)</w:t>
            </w:r>
          </w:p>
        </w:tc>
        <w:tc>
          <w:tcPr>
            <w:tcW w:w="2383" w:type="dxa"/>
          </w:tcPr>
          <w:p w:rsidR="00C11B0D" w:rsidRPr="00F2002E" w:rsidRDefault="00C11B0D" w:rsidP="00FE4F82">
            <w:pPr>
              <w:spacing w:after="0"/>
              <w:jc w:val="center"/>
              <w:rPr>
                <w:rFonts w:ascii="Times New Roman" w:hAnsi="Times New Roman" w:cs="Times New Roman"/>
              </w:rPr>
            </w:pPr>
            <w:r w:rsidRPr="00F2002E">
              <w:rPr>
                <w:rFonts w:ascii="Times New Roman" w:hAnsi="Times New Roman" w:cs="Times New Roman"/>
              </w:rPr>
              <w:t>26.843 (55.154)</w:t>
            </w:r>
          </w:p>
        </w:tc>
      </w:tr>
    </w:tbl>
    <w:p w:rsidR="00C11B0D" w:rsidRPr="00C11669" w:rsidRDefault="00C11B0D" w:rsidP="00C11B0D">
      <w:pPr>
        <w:jc w:val="both"/>
        <w:rPr>
          <w:rFonts w:ascii="Times New Roman" w:hAnsi="Times New Roman"/>
          <w:color w:val="000000"/>
        </w:rPr>
      </w:pPr>
      <w:r w:rsidRPr="004F37FB">
        <w:rPr>
          <w:rFonts w:ascii="Times New Roman" w:hAnsi="Times New Roman"/>
        </w:rPr>
        <w:t xml:space="preserve">Source: Computed. Note: *** implies significant at 1%, while ** implies significant at 5% and * significant at 10%. </w:t>
      </w:r>
      <w:r w:rsidRPr="004F37FB">
        <w:rPr>
          <w:rFonts w:ascii="Times New Roman" w:hAnsi="Times New Roman"/>
          <w:color w:val="000000"/>
        </w:rPr>
        <w:t xml:space="preserve">Figures in Parenthesis are the </w:t>
      </w:r>
      <w:r>
        <w:rPr>
          <w:rFonts w:ascii="Times New Roman" w:hAnsi="Times New Roman"/>
          <w:color w:val="000000"/>
        </w:rPr>
        <w:t>t-statistic</w:t>
      </w:r>
      <w:r w:rsidRPr="004F37FB">
        <w:rPr>
          <w:rFonts w:ascii="Times New Roman" w:hAnsi="Times New Roman"/>
          <w:color w:val="000000"/>
        </w:rPr>
        <w:t>.</w:t>
      </w:r>
      <w:bookmarkStart w:id="47" w:name="_Toc97822148"/>
    </w:p>
    <w:p w:rsidR="00C11B0D" w:rsidRPr="00AD40A9" w:rsidRDefault="003D14A5" w:rsidP="00C11B0D">
      <w:pPr>
        <w:pStyle w:val="H2"/>
        <w:rPr>
          <w:sz w:val="24"/>
          <w:szCs w:val="24"/>
        </w:rPr>
      </w:pPr>
      <w:bookmarkStart w:id="48" w:name="_Toc115647127"/>
      <w:r>
        <w:rPr>
          <w:iCs/>
          <w:sz w:val="24"/>
          <w:szCs w:val="24"/>
        </w:rPr>
        <w:t>4.5</w:t>
      </w:r>
      <w:r>
        <w:rPr>
          <w:iCs/>
          <w:sz w:val="24"/>
          <w:szCs w:val="24"/>
        </w:rPr>
        <w:tab/>
      </w:r>
      <w:r w:rsidR="00C11B0D" w:rsidRPr="00AD40A9">
        <w:rPr>
          <w:iCs/>
          <w:sz w:val="24"/>
          <w:szCs w:val="24"/>
        </w:rPr>
        <w:t xml:space="preserve">Short-Run Analysis of </w:t>
      </w:r>
      <w:r w:rsidR="00C11B0D" w:rsidRPr="00AD40A9">
        <w:rPr>
          <w:iCs/>
          <w:color w:val="000000"/>
          <w:sz w:val="24"/>
          <w:szCs w:val="24"/>
        </w:rPr>
        <w:t xml:space="preserve">the impact of </w:t>
      </w:r>
      <w:r w:rsidR="00C11B0D" w:rsidRPr="00AD40A9">
        <w:rPr>
          <w:sz w:val="24"/>
          <w:szCs w:val="24"/>
        </w:rPr>
        <w:t>export credit on non-oil export performance</w:t>
      </w:r>
      <w:bookmarkEnd w:id="48"/>
      <w:r w:rsidR="00C11B0D" w:rsidRPr="00AD40A9">
        <w:rPr>
          <w:sz w:val="24"/>
          <w:szCs w:val="24"/>
        </w:rPr>
        <w:t xml:space="preserve"> </w:t>
      </w:r>
      <w:bookmarkEnd w:id="47"/>
    </w:p>
    <w:p w:rsidR="00C11B0D" w:rsidRPr="00AD40A9" w:rsidRDefault="00C11B0D" w:rsidP="00C11B0D">
      <w:pPr>
        <w:jc w:val="both"/>
        <w:rPr>
          <w:rFonts w:ascii="Times New Roman" w:hAnsi="Times New Roman" w:cs="Times New Roman"/>
          <w:sz w:val="24"/>
          <w:szCs w:val="24"/>
        </w:rPr>
      </w:pPr>
      <w:r w:rsidRPr="00AD40A9">
        <w:rPr>
          <w:rFonts w:ascii="Times New Roman" w:hAnsi="Times New Roman" w:cs="Times New Roman"/>
          <w:sz w:val="24"/>
          <w:szCs w:val="24"/>
        </w:rPr>
        <w:t xml:space="preserve">The diagnostic test results for each model show no serial autocorrelation, as evidenced by Durbin-Watson statistics of 2.00, 2.24, 1.98, and 2.04, respectively. This is supported by the probability of the </w:t>
      </w:r>
      <w:proofErr w:type="spellStart"/>
      <w:r w:rsidRPr="00AD40A9">
        <w:rPr>
          <w:rFonts w:ascii="Times New Roman" w:hAnsi="Times New Roman" w:cs="Times New Roman"/>
          <w:sz w:val="24"/>
          <w:szCs w:val="24"/>
        </w:rPr>
        <w:t>Breusch</w:t>
      </w:r>
      <w:proofErr w:type="spellEnd"/>
      <w:r w:rsidRPr="00AD40A9">
        <w:rPr>
          <w:rFonts w:ascii="Times New Roman" w:hAnsi="Times New Roman" w:cs="Times New Roman"/>
          <w:sz w:val="24"/>
          <w:szCs w:val="24"/>
        </w:rPr>
        <w:t xml:space="preserve"> Godfrey serial correlation LM test of 0.37, 0.66, 0.48, and 0.14, respectively. The </w:t>
      </w:r>
      <w:proofErr w:type="spellStart"/>
      <w:r w:rsidRPr="00AD40A9">
        <w:rPr>
          <w:rFonts w:ascii="Times New Roman" w:hAnsi="Times New Roman" w:cs="Times New Roman"/>
          <w:sz w:val="24"/>
          <w:szCs w:val="24"/>
        </w:rPr>
        <w:t>heteroskedasticity</w:t>
      </w:r>
      <w:proofErr w:type="spellEnd"/>
      <w:r w:rsidRPr="00AD40A9">
        <w:rPr>
          <w:rFonts w:ascii="Times New Roman" w:hAnsi="Times New Roman" w:cs="Times New Roman"/>
          <w:sz w:val="24"/>
          <w:szCs w:val="24"/>
        </w:rPr>
        <w:t xml:space="preserve"> test for each model yields values of 1.32, 0.19, 0.003, and 1.22, respectively, with probabilities of 0.26, 0.67, 0.95, and 0.28. This indicates the presence of homoscedasticity in each model's series. Ramsey Reset stability tests with probability values of 0.15, 0.00, 0.98, and 0.01 indicate that all models are stable except for non-oil export as a percentage of GDP and non-oil export growth rate (%).This indicates that the value of non-oil exports as a percentage of GDP and the rate of growth of non-oil exports in Nigeria have been fluctuating over time. The results of R-squared are 0.67, 0.72, 0.58 and 0.74, respectively. This connotes that in the short-run, changes in total non-oil export, non-oil export as a percentage of total export, growth rate of non-oil export (%) and non-oil export as a percentage of GDP are accounted for by the variation in commercial banks’ credit to non-oil exporters, exchange rate, monetary policy rate and openness to trade.</w:t>
      </w:r>
    </w:p>
    <w:p w:rsidR="00C11B0D" w:rsidRPr="00AD40A9" w:rsidRDefault="00C11B0D" w:rsidP="00C11B0D">
      <w:pPr>
        <w:jc w:val="both"/>
        <w:rPr>
          <w:rFonts w:ascii="Times New Roman" w:hAnsi="Times New Roman" w:cs="Times New Roman"/>
          <w:color w:val="FF0000"/>
          <w:sz w:val="24"/>
          <w:szCs w:val="24"/>
        </w:rPr>
      </w:pPr>
      <w:r w:rsidRPr="00AD40A9">
        <w:rPr>
          <w:rFonts w:ascii="Times New Roman" w:hAnsi="Times New Roman" w:cs="Times New Roman"/>
          <w:sz w:val="24"/>
          <w:szCs w:val="24"/>
        </w:rPr>
        <w:t>Table 9 Column 2 shows the results of short-run dynamics of the impact of export credit on non-oil export performance in Nigeria. The ECM term of -0.741, -0.137, -0.225 and -1.237 for models 1-4 in Table 9 had negative sign, less than zero and statistically significant. The estimates support the existence of a long-run relationship among the variables.</w:t>
      </w:r>
      <w:r w:rsidRPr="00AD40A9">
        <w:rPr>
          <w:rFonts w:ascii="Times New Roman" w:hAnsi="Times New Roman" w:cs="Times New Roman"/>
          <w:color w:val="FF0000"/>
          <w:sz w:val="24"/>
          <w:szCs w:val="24"/>
        </w:rPr>
        <w:t xml:space="preserve"> </w:t>
      </w:r>
    </w:p>
    <w:p w:rsidR="00C11B0D" w:rsidRPr="00AD40A9" w:rsidRDefault="00C11B0D" w:rsidP="00C11B0D">
      <w:pPr>
        <w:jc w:val="both"/>
        <w:rPr>
          <w:rFonts w:ascii="Times New Roman" w:hAnsi="Times New Roman" w:cs="Times New Roman"/>
          <w:sz w:val="24"/>
          <w:szCs w:val="24"/>
        </w:rPr>
      </w:pPr>
      <w:r w:rsidRPr="00AD40A9">
        <w:rPr>
          <w:rFonts w:ascii="Times New Roman" w:hAnsi="Times New Roman" w:cs="Times New Roman"/>
          <w:sz w:val="24"/>
          <w:szCs w:val="24"/>
        </w:rPr>
        <w:lastRenderedPageBreak/>
        <w:t>It is observed from column 2 in Table 9 that commercial banks’ credit to non-oil exporters D(LCBEC), openness to trade D(LOPEN), the lag value of OPEN in period two D(LOPEN(-2)) and D(LRGDP) have significant positive impact on non-oil export in the short-run., and as well conform with their theoretical underpinning. These results are similar to the long-run estimates. For instance, the significant positive impact of commercial banks credit connotes that the performance of the non-oil export sector might be greatly enhanced by adequate provision of commercial banks' credit. The short-run estimates also show that an increase in Nigeria's degree of trade openness could result in sizable trade gains. Furthermore, a positive GDP coefficient indicates that Nigeria's potential to enhance its production capacity may result in a rise in the volume of non-oil exports to the global market.</w:t>
      </w:r>
    </w:p>
    <w:p w:rsidR="00C11B0D" w:rsidRPr="00AD40A9" w:rsidRDefault="00C11B0D" w:rsidP="00C11B0D">
      <w:pPr>
        <w:jc w:val="both"/>
        <w:rPr>
          <w:rFonts w:ascii="Times New Roman" w:hAnsi="Times New Roman" w:cs="Times New Roman"/>
          <w:sz w:val="24"/>
          <w:szCs w:val="24"/>
        </w:rPr>
      </w:pPr>
      <w:r w:rsidRPr="00AD40A9">
        <w:rPr>
          <w:rFonts w:ascii="Times New Roman" w:hAnsi="Times New Roman" w:cs="Times New Roman"/>
          <w:sz w:val="24"/>
          <w:szCs w:val="24"/>
        </w:rPr>
        <w:t xml:space="preserve">Looking at model 2 which is </w:t>
      </w:r>
      <w:r w:rsidRPr="00AD40A9">
        <w:rPr>
          <w:rFonts w:ascii="Times New Roman" w:hAnsi="Times New Roman" w:cs="Times New Roman"/>
          <w:color w:val="000000"/>
          <w:sz w:val="24"/>
          <w:szCs w:val="24"/>
        </w:rPr>
        <w:t>total non-oil export as percentage of GDP, the estimates</w:t>
      </w:r>
      <w:r w:rsidRPr="00AD40A9">
        <w:rPr>
          <w:rFonts w:ascii="Times New Roman" w:hAnsi="Times New Roman" w:cs="Times New Roman"/>
          <w:sz w:val="24"/>
          <w:szCs w:val="24"/>
        </w:rPr>
        <w:t xml:space="preserve"> shows that only </w:t>
      </w:r>
      <w:proofErr w:type="gramStart"/>
      <w:r w:rsidRPr="00AD40A9">
        <w:rPr>
          <w:rFonts w:ascii="Times New Roman" w:hAnsi="Times New Roman" w:cs="Times New Roman"/>
          <w:color w:val="000000"/>
          <w:sz w:val="24"/>
          <w:szCs w:val="24"/>
        </w:rPr>
        <w:t>D(</w:t>
      </w:r>
      <w:proofErr w:type="gramEnd"/>
      <w:r w:rsidRPr="00AD40A9">
        <w:rPr>
          <w:rFonts w:ascii="Times New Roman" w:hAnsi="Times New Roman" w:cs="Times New Roman"/>
          <w:color w:val="000000"/>
          <w:sz w:val="24"/>
          <w:szCs w:val="24"/>
        </w:rPr>
        <w:t xml:space="preserve">LRGDP) has significant positive impact and bears the expected sign. However, </w:t>
      </w:r>
      <w:r w:rsidRPr="00AD40A9">
        <w:rPr>
          <w:rFonts w:ascii="Times New Roman" w:hAnsi="Times New Roman" w:cs="Times New Roman"/>
          <w:sz w:val="24"/>
          <w:szCs w:val="24"/>
        </w:rPr>
        <w:t xml:space="preserve">the lag value of total non-oil export as percentage of GDP in period one </w:t>
      </w:r>
      <w:r w:rsidRPr="00AD40A9">
        <w:rPr>
          <w:rFonts w:ascii="Times New Roman" w:hAnsi="Times New Roman" w:cs="Times New Roman"/>
          <w:color w:val="000000"/>
          <w:sz w:val="24"/>
          <w:szCs w:val="24"/>
        </w:rPr>
        <w:t xml:space="preserve">D(TNOE_GDP(-1)), exchange rate D(EXCR) and its lag value in period one D(EXCR(-1)), </w:t>
      </w:r>
      <w:r w:rsidRPr="00AD40A9">
        <w:rPr>
          <w:rFonts w:ascii="Times New Roman" w:hAnsi="Times New Roman" w:cs="Times New Roman"/>
          <w:sz w:val="24"/>
          <w:szCs w:val="24"/>
        </w:rPr>
        <w:t xml:space="preserve">commercial banks’ credit to non-oil exporters D(LCBEC) and its lag value in period one </w:t>
      </w:r>
      <w:r w:rsidRPr="00AD40A9">
        <w:rPr>
          <w:rFonts w:ascii="Times New Roman" w:hAnsi="Times New Roman" w:cs="Times New Roman"/>
          <w:color w:val="000000"/>
          <w:sz w:val="24"/>
          <w:szCs w:val="24"/>
        </w:rPr>
        <w:t xml:space="preserve">D(LCBEC(-1)) and lag value of RGDP in period one D(RGDP(-1)) all </w:t>
      </w:r>
      <w:r w:rsidRPr="00AD40A9">
        <w:rPr>
          <w:rFonts w:ascii="Times New Roman" w:hAnsi="Times New Roman" w:cs="Times New Roman"/>
          <w:sz w:val="24"/>
          <w:szCs w:val="24"/>
        </w:rPr>
        <w:t xml:space="preserve">have significant negative impact and do not conform with the expected signs. Of particular interest, significant negative impact of commercial banks’ credit to non-oil exporters D(LCBEC) and its lag value in period one </w:t>
      </w:r>
      <w:r w:rsidRPr="00AD40A9">
        <w:rPr>
          <w:rFonts w:ascii="Times New Roman" w:hAnsi="Times New Roman" w:cs="Times New Roman"/>
          <w:color w:val="000000"/>
          <w:sz w:val="24"/>
          <w:szCs w:val="24"/>
        </w:rPr>
        <w:t xml:space="preserve">D(LCBEC(-1)) could be ascribed to insufficient funds allocated to non-oil export sector, while certain portion of the funds is diverted elsewhere, </w:t>
      </w:r>
      <w:r w:rsidRPr="00AD40A9">
        <w:rPr>
          <w:rFonts w:ascii="Times New Roman" w:hAnsi="Times New Roman" w:cs="Times New Roman"/>
          <w:sz w:val="24"/>
          <w:szCs w:val="24"/>
        </w:rPr>
        <w:t>preventing the right beneficiaries from benefiting. Of course, this has a negative impact on Nigeria's non-oil export sector.</w:t>
      </w:r>
    </w:p>
    <w:p w:rsidR="00C11B0D" w:rsidRPr="00AD40A9" w:rsidRDefault="00C11B0D" w:rsidP="00C11B0D">
      <w:pPr>
        <w:jc w:val="both"/>
        <w:rPr>
          <w:rFonts w:ascii="Times New Roman" w:hAnsi="Times New Roman" w:cs="Times New Roman"/>
          <w:color w:val="000000"/>
          <w:sz w:val="24"/>
          <w:szCs w:val="24"/>
        </w:rPr>
      </w:pPr>
      <w:r w:rsidRPr="00AD40A9">
        <w:rPr>
          <w:rFonts w:ascii="Times New Roman" w:hAnsi="Times New Roman" w:cs="Times New Roman"/>
          <w:sz w:val="24"/>
          <w:szCs w:val="24"/>
        </w:rPr>
        <w:t xml:space="preserve">Considering </w:t>
      </w:r>
      <w:r w:rsidRPr="00AD40A9">
        <w:rPr>
          <w:rFonts w:ascii="Times New Roman" w:hAnsi="Times New Roman" w:cs="Times New Roman"/>
          <w:color w:val="000000"/>
          <w:sz w:val="24"/>
          <w:szCs w:val="24"/>
        </w:rPr>
        <w:t xml:space="preserve">total non-oil export as percentage of total export, the estimates in model 3 reveal that none of the significant explanatory variables in the model bears the expected sign. In the case of growth of total non-oil export, the estimates in model 4 reveal that lag of monetary policy rate in period one D(MPR(-1)) has significant negative impact while lag value of openness to trade in period one D(LOPEN(-1)) has significant positive impact and are conform with </w:t>
      </w:r>
      <w:proofErr w:type="spellStart"/>
      <w:r w:rsidRPr="00AD40A9">
        <w:rPr>
          <w:rFonts w:ascii="Times New Roman" w:hAnsi="Times New Roman" w:cs="Times New Roman"/>
          <w:color w:val="000000"/>
          <w:sz w:val="24"/>
          <w:szCs w:val="24"/>
        </w:rPr>
        <w:t>apriori</w:t>
      </w:r>
      <w:proofErr w:type="spellEnd"/>
      <w:r w:rsidRPr="00AD40A9">
        <w:rPr>
          <w:rFonts w:ascii="Times New Roman" w:hAnsi="Times New Roman" w:cs="Times New Roman"/>
          <w:color w:val="000000"/>
          <w:sz w:val="24"/>
          <w:szCs w:val="24"/>
        </w:rPr>
        <w:t xml:space="preserve"> expectations. Contrarily, </w:t>
      </w:r>
      <w:proofErr w:type="gramStart"/>
      <w:r w:rsidRPr="00AD40A9">
        <w:rPr>
          <w:rFonts w:ascii="Times New Roman" w:hAnsi="Times New Roman" w:cs="Times New Roman"/>
          <w:color w:val="000000"/>
          <w:sz w:val="24"/>
          <w:szCs w:val="24"/>
        </w:rPr>
        <w:t>D(</w:t>
      </w:r>
      <w:proofErr w:type="gramEnd"/>
      <w:r w:rsidRPr="00AD40A9">
        <w:rPr>
          <w:rFonts w:ascii="Times New Roman" w:hAnsi="Times New Roman" w:cs="Times New Roman"/>
          <w:color w:val="000000"/>
          <w:sz w:val="24"/>
          <w:szCs w:val="24"/>
        </w:rPr>
        <w:t>LRGDP) has significant negative impact and does not bear the expected sign.</w:t>
      </w:r>
    </w:p>
    <w:p w:rsidR="00C11B0D" w:rsidRPr="00F2002E" w:rsidRDefault="00C11B0D" w:rsidP="00C11B0D">
      <w:pPr>
        <w:pStyle w:val="T1"/>
      </w:pPr>
      <w:bookmarkStart w:id="49" w:name="_Toc115647343"/>
      <w:r w:rsidRPr="00F2002E">
        <w:rPr>
          <w:bCs/>
        </w:rPr>
        <w:t>T</w:t>
      </w:r>
      <w:r>
        <w:rPr>
          <w:bCs/>
        </w:rPr>
        <w:t>able 9</w:t>
      </w:r>
      <w:r w:rsidRPr="00F2002E">
        <w:rPr>
          <w:bCs/>
        </w:rPr>
        <w:t xml:space="preserve">: </w:t>
      </w:r>
      <w:r w:rsidRPr="00F2002E">
        <w:t>Short-run and error correction representation of the selected ARDL model</w:t>
      </w:r>
      <w:bookmarkEnd w:id="49"/>
    </w:p>
    <w:tbl>
      <w:tblPr>
        <w:tblStyle w:val="TableGrid"/>
        <w:tblW w:w="10980" w:type="dxa"/>
        <w:tblInd w:w="-815" w:type="dxa"/>
        <w:tblLook w:val="04A0" w:firstRow="1" w:lastRow="0" w:firstColumn="1" w:lastColumn="0" w:noHBand="0" w:noVBand="1"/>
      </w:tblPr>
      <w:tblGrid>
        <w:gridCol w:w="3240"/>
        <w:gridCol w:w="1890"/>
        <w:gridCol w:w="1980"/>
        <w:gridCol w:w="1980"/>
        <w:gridCol w:w="1890"/>
      </w:tblGrid>
      <w:tr w:rsidR="00C11B0D" w:rsidRPr="000F3050" w:rsidTr="00FE4F82">
        <w:tc>
          <w:tcPr>
            <w:tcW w:w="3240" w:type="dxa"/>
          </w:tcPr>
          <w:p w:rsidR="00C11B0D" w:rsidRPr="000F3050" w:rsidRDefault="00C11B0D" w:rsidP="00FE4F82">
            <w:pPr>
              <w:spacing w:after="0"/>
              <w:rPr>
                <w:rFonts w:ascii="Times New Roman" w:hAnsi="Times New Roman" w:cs="Times New Roman"/>
                <w:sz w:val="20"/>
                <w:szCs w:val="20"/>
              </w:rPr>
            </w:pPr>
          </w:p>
        </w:tc>
        <w:tc>
          <w:tcPr>
            <w:tcW w:w="189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Model 1</w:t>
            </w:r>
          </w:p>
        </w:tc>
        <w:tc>
          <w:tcPr>
            <w:tcW w:w="198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Model 2</w:t>
            </w:r>
          </w:p>
        </w:tc>
        <w:tc>
          <w:tcPr>
            <w:tcW w:w="198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Model 3</w:t>
            </w:r>
          </w:p>
        </w:tc>
        <w:tc>
          <w:tcPr>
            <w:tcW w:w="189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Model 4</w:t>
            </w:r>
          </w:p>
        </w:tc>
      </w:tr>
      <w:tr w:rsidR="00C11B0D" w:rsidRPr="000F3050" w:rsidTr="00FE4F82">
        <w:tc>
          <w:tcPr>
            <w:tcW w:w="324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Variables</w:t>
            </w:r>
          </w:p>
        </w:tc>
        <w:tc>
          <w:tcPr>
            <w:tcW w:w="189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color w:val="000000"/>
                <w:sz w:val="20"/>
                <w:szCs w:val="20"/>
              </w:rPr>
              <w:t>LTNOE</w:t>
            </w:r>
          </w:p>
        </w:tc>
        <w:tc>
          <w:tcPr>
            <w:tcW w:w="1980" w:type="dxa"/>
          </w:tcPr>
          <w:p w:rsidR="00C11B0D" w:rsidRPr="000F3050" w:rsidRDefault="00C11B0D" w:rsidP="00FE4F82">
            <w:pPr>
              <w:spacing w:after="0"/>
              <w:jc w:val="center"/>
              <w:rPr>
                <w:rFonts w:ascii="Times New Roman" w:hAnsi="Times New Roman" w:cs="Times New Roman"/>
                <w:b/>
                <w:sz w:val="20"/>
                <w:szCs w:val="20"/>
              </w:rPr>
            </w:pPr>
            <w:r w:rsidRPr="000F3050">
              <w:rPr>
                <w:rFonts w:ascii="Times New Roman" w:hAnsi="Times New Roman" w:cs="Times New Roman"/>
                <w:color w:val="000000"/>
                <w:sz w:val="20"/>
                <w:szCs w:val="20"/>
              </w:rPr>
              <w:t>TNOE/GDP</w:t>
            </w:r>
          </w:p>
        </w:tc>
        <w:tc>
          <w:tcPr>
            <w:tcW w:w="198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color w:val="000000"/>
                <w:sz w:val="20"/>
                <w:szCs w:val="20"/>
              </w:rPr>
              <w:t>TNOE/TE</w:t>
            </w:r>
          </w:p>
        </w:tc>
        <w:tc>
          <w:tcPr>
            <w:tcW w:w="189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color w:val="000000"/>
                <w:sz w:val="20"/>
                <w:szCs w:val="20"/>
              </w:rPr>
              <w:t>GR_TNOE</w:t>
            </w:r>
          </w:p>
        </w:tc>
      </w:tr>
      <w:tr w:rsidR="00C11B0D" w:rsidRPr="000F3050" w:rsidTr="00FE4F82">
        <w:tc>
          <w:tcPr>
            <w:tcW w:w="3240" w:type="dxa"/>
          </w:tcPr>
          <w:p w:rsidR="00C11B0D" w:rsidRPr="000F3050" w:rsidRDefault="00C11B0D" w:rsidP="00FE4F82">
            <w:pPr>
              <w:spacing w:after="0"/>
              <w:jc w:val="center"/>
              <w:rPr>
                <w:rFonts w:ascii="Times New Roman" w:hAnsi="Times New Roman" w:cs="Times New Roman"/>
                <w:color w:val="000000"/>
                <w:sz w:val="20"/>
                <w:szCs w:val="20"/>
              </w:rPr>
            </w:pPr>
            <w:r w:rsidRPr="000F3050">
              <w:rPr>
                <w:rFonts w:ascii="Times New Roman" w:hAnsi="Times New Roman" w:cs="Times New Roman"/>
                <w:color w:val="000000"/>
                <w:sz w:val="20"/>
                <w:szCs w:val="20"/>
              </w:rPr>
              <w:t>D(TNOE_GDP(-1))</w:t>
            </w:r>
          </w:p>
        </w:tc>
        <w:tc>
          <w:tcPr>
            <w:tcW w:w="189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w:t>
            </w:r>
          </w:p>
        </w:tc>
        <w:tc>
          <w:tcPr>
            <w:tcW w:w="198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-0.296 (0.118)**</w:t>
            </w:r>
          </w:p>
        </w:tc>
        <w:tc>
          <w:tcPr>
            <w:tcW w:w="198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w:t>
            </w:r>
          </w:p>
        </w:tc>
        <w:tc>
          <w:tcPr>
            <w:tcW w:w="189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w:t>
            </w:r>
          </w:p>
        </w:tc>
      </w:tr>
      <w:tr w:rsidR="00C11B0D" w:rsidRPr="000F3050" w:rsidTr="00FE4F82">
        <w:tc>
          <w:tcPr>
            <w:tcW w:w="3240" w:type="dxa"/>
          </w:tcPr>
          <w:p w:rsidR="00C11B0D" w:rsidRPr="000F3050" w:rsidRDefault="00C11B0D" w:rsidP="00FE4F82">
            <w:pPr>
              <w:spacing w:after="0"/>
              <w:jc w:val="center"/>
              <w:rPr>
                <w:rFonts w:ascii="Times New Roman" w:hAnsi="Times New Roman" w:cs="Times New Roman"/>
                <w:color w:val="000000"/>
                <w:sz w:val="20"/>
                <w:szCs w:val="20"/>
              </w:rPr>
            </w:pPr>
            <w:r w:rsidRPr="000F3050">
              <w:rPr>
                <w:rFonts w:ascii="Times New Roman" w:hAnsi="Times New Roman" w:cs="Times New Roman"/>
                <w:color w:val="000000"/>
                <w:sz w:val="20"/>
                <w:szCs w:val="20"/>
              </w:rPr>
              <w:t>D(TNOE_TE(-1))</w:t>
            </w:r>
          </w:p>
        </w:tc>
        <w:tc>
          <w:tcPr>
            <w:tcW w:w="189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w:t>
            </w:r>
          </w:p>
        </w:tc>
        <w:tc>
          <w:tcPr>
            <w:tcW w:w="198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w:t>
            </w:r>
          </w:p>
        </w:tc>
        <w:tc>
          <w:tcPr>
            <w:tcW w:w="198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-0.308 ((0.146)**</w:t>
            </w:r>
          </w:p>
        </w:tc>
        <w:tc>
          <w:tcPr>
            <w:tcW w:w="189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w:t>
            </w:r>
          </w:p>
        </w:tc>
      </w:tr>
      <w:tr w:rsidR="00C11B0D" w:rsidRPr="000F3050" w:rsidTr="00FE4F82">
        <w:tc>
          <w:tcPr>
            <w:tcW w:w="3240" w:type="dxa"/>
          </w:tcPr>
          <w:p w:rsidR="00C11B0D" w:rsidRPr="000F3050" w:rsidRDefault="00C11B0D" w:rsidP="00FE4F82">
            <w:pPr>
              <w:spacing w:after="0"/>
              <w:jc w:val="center"/>
              <w:rPr>
                <w:rFonts w:ascii="Times New Roman" w:hAnsi="Times New Roman" w:cs="Times New Roman"/>
                <w:color w:val="000000"/>
                <w:sz w:val="20"/>
                <w:szCs w:val="20"/>
              </w:rPr>
            </w:pPr>
            <w:r w:rsidRPr="000F3050">
              <w:rPr>
                <w:rFonts w:ascii="Times New Roman" w:hAnsi="Times New Roman" w:cs="Times New Roman"/>
                <w:color w:val="000000"/>
                <w:sz w:val="20"/>
                <w:szCs w:val="20"/>
              </w:rPr>
              <w:t>D(EXCR)</w:t>
            </w:r>
          </w:p>
        </w:tc>
        <w:tc>
          <w:tcPr>
            <w:tcW w:w="189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w:t>
            </w:r>
          </w:p>
        </w:tc>
        <w:tc>
          <w:tcPr>
            <w:tcW w:w="198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-12.918 (3.663)***</w:t>
            </w:r>
          </w:p>
        </w:tc>
        <w:tc>
          <w:tcPr>
            <w:tcW w:w="198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-0.051 (0.017)***</w:t>
            </w:r>
          </w:p>
        </w:tc>
        <w:tc>
          <w:tcPr>
            <w:tcW w:w="189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w:t>
            </w:r>
          </w:p>
        </w:tc>
      </w:tr>
      <w:tr w:rsidR="00C11B0D" w:rsidRPr="000F3050" w:rsidTr="00FE4F82">
        <w:tc>
          <w:tcPr>
            <w:tcW w:w="3240" w:type="dxa"/>
          </w:tcPr>
          <w:p w:rsidR="00C11B0D" w:rsidRPr="000F3050" w:rsidRDefault="00C11B0D" w:rsidP="00FE4F82">
            <w:pPr>
              <w:spacing w:after="0"/>
              <w:jc w:val="center"/>
              <w:rPr>
                <w:rFonts w:ascii="Times New Roman" w:hAnsi="Times New Roman" w:cs="Times New Roman"/>
                <w:color w:val="000000"/>
                <w:sz w:val="20"/>
                <w:szCs w:val="20"/>
              </w:rPr>
            </w:pPr>
            <w:r w:rsidRPr="000F3050">
              <w:rPr>
                <w:rFonts w:ascii="Times New Roman" w:hAnsi="Times New Roman" w:cs="Times New Roman"/>
                <w:color w:val="000000"/>
                <w:sz w:val="20"/>
                <w:szCs w:val="20"/>
              </w:rPr>
              <w:t>D(EXCR(-1))</w:t>
            </w:r>
          </w:p>
        </w:tc>
        <w:tc>
          <w:tcPr>
            <w:tcW w:w="189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w:t>
            </w:r>
          </w:p>
        </w:tc>
        <w:tc>
          <w:tcPr>
            <w:tcW w:w="198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-12.462 (4.574)**</w:t>
            </w:r>
          </w:p>
        </w:tc>
        <w:tc>
          <w:tcPr>
            <w:tcW w:w="198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-0.056 (0.021)**</w:t>
            </w:r>
          </w:p>
        </w:tc>
        <w:tc>
          <w:tcPr>
            <w:tcW w:w="189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w:t>
            </w:r>
          </w:p>
        </w:tc>
      </w:tr>
      <w:tr w:rsidR="00C11B0D" w:rsidRPr="000F3050" w:rsidTr="00FE4F82">
        <w:tc>
          <w:tcPr>
            <w:tcW w:w="324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color w:val="000000"/>
                <w:sz w:val="20"/>
                <w:szCs w:val="20"/>
              </w:rPr>
              <w:t>D(LCBEC)</w:t>
            </w:r>
          </w:p>
        </w:tc>
        <w:tc>
          <w:tcPr>
            <w:tcW w:w="189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0.115 (0.063)*</w:t>
            </w:r>
          </w:p>
        </w:tc>
        <w:tc>
          <w:tcPr>
            <w:tcW w:w="198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-0.342 (0.352)</w:t>
            </w:r>
          </w:p>
        </w:tc>
        <w:tc>
          <w:tcPr>
            <w:tcW w:w="198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-0.186 (0.314)</w:t>
            </w:r>
          </w:p>
        </w:tc>
        <w:tc>
          <w:tcPr>
            <w:tcW w:w="189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-0.119 (0.074)</w:t>
            </w:r>
          </w:p>
        </w:tc>
      </w:tr>
      <w:tr w:rsidR="00C11B0D" w:rsidRPr="000F3050" w:rsidTr="00FE4F82">
        <w:tc>
          <w:tcPr>
            <w:tcW w:w="3240" w:type="dxa"/>
          </w:tcPr>
          <w:p w:rsidR="00C11B0D" w:rsidRPr="000F3050" w:rsidRDefault="00C11B0D" w:rsidP="00FE4F82">
            <w:pPr>
              <w:spacing w:after="0"/>
              <w:jc w:val="center"/>
              <w:rPr>
                <w:rFonts w:ascii="Times New Roman" w:hAnsi="Times New Roman" w:cs="Times New Roman"/>
                <w:color w:val="000000"/>
                <w:sz w:val="20"/>
                <w:szCs w:val="20"/>
              </w:rPr>
            </w:pPr>
            <w:r w:rsidRPr="000F3050">
              <w:rPr>
                <w:rFonts w:ascii="Times New Roman" w:hAnsi="Times New Roman" w:cs="Times New Roman"/>
                <w:color w:val="000000"/>
                <w:sz w:val="20"/>
                <w:szCs w:val="20"/>
              </w:rPr>
              <w:t>D(LCBEC(-1))</w:t>
            </w:r>
          </w:p>
        </w:tc>
        <w:tc>
          <w:tcPr>
            <w:tcW w:w="189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w:t>
            </w:r>
          </w:p>
        </w:tc>
        <w:tc>
          <w:tcPr>
            <w:tcW w:w="198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-1.429 (0.420)***</w:t>
            </w:r>
          </w:p>
        </w:tc>
        <w:tc>
          <w:tcPr>
            <w:tcW w:w="198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w:t>
            </w:r>
          </w:p>
        </w:tc>
        <w:tc>
          <w:tcPr>
            <w:tcW w:w="189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w:t>
            </w:r>
          </w:p>
        </w:tc>
      </w:tr>
      <w:tr w:rsidR="00C11B0D" w:rsidRPr="000F3050" w:rsidTr="00FE4F82">
        <w:tc>
          <w:tcPr>
            <w:tcW w:w="3240" w:type="dxa"/>
          </w:tcPr>
          <w:p w:rsidR="00C11B0D" w:rsidRPr="000F3050" w:rsidRDefault="00C11B0D" w:rsidP="00FE4F82">
            <w:pPr>
              <w:spacing w:after="0"/>
              <w:jc w:val="center"/>
              <w:rPr>
                <w:rFonts w:ascii="Times New Roman" w:hAnsi="Times New Roman" w:cs="Times New Roman"/>
                <w:color w:val="000000"/>
                <w:sz w:val="20"/>
                <w:szCs w:val="20"/>
              </w:rPr>
            </w:pPr>
            <w:r w:rsidRPr="000F3050">
              <w:rPr>
                <w:rFonts w:ascii="Times New Roman" w:hAnsi="Times New Roman" w:cs="Times New Roman"/>
                <w:color w:val="000000"/>
                <w:sz w:val="20"/>
                <w:szCs w:val="20"/>
              </w:rPr>
              <w:t>D(INFR)</w:t>
            </w:r>
          </w:p>
        </w:tc>
        <w:tc>
          <w:tcPr>
            <w:tcW w:w="189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w:t>
            </w:r>
          </w:p>
        </w:tc>
        <w:tc>
          <w:tcPr>
            <w:tcW w:w="198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0.712 (4.090)</w:t>
            </w:r>
          </w:p>
        </w:tc>
        <w:tc>
          <w:tcPr>
            <w:tcW w:w="198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0.040 (0.018)**</w:t>
            </w:r>
          </w:p>
        </w:tc>
        <w:tc>
          <w:tcPr>
            <w:tcW w:w="189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w:t>
            </w:r>
          </w:p>
        </w:tc>
      </w:tr>
      <w:tr w:rsidR="00C11B0D" w:rsidRPr="000F3050" w:rsidTr="00FE4F82">
        <w:tc>
          <w:tcPr>
            <w:tcW w:w="3240" w:type="dxa"/>
          </w:tcPr>
          <w:p w:rsidR="00C11B0D" w:rsidRPr="000F3050" w:rsidRDefault="00C11B0D" w:rsidP="00FE4F82">
            <w:pPr>
              <w:spacing w:after="0"/>
              <w:jc w:val="center"/>
              <w:rPr>
                <w:rFonts w:ascii="Times New Roman" w:hAnsi="Times New Roman" w:cs="Times New Roman"/>
                <w:color w:val="000000"/>
                <w:sz w:val="20"/>
                <w:szCs w:val="20"/>
              </w:rPr>
            </w:pPr>
            <w:r w:rsidRPr="000F3050">
              <w:rPr>
                <w:rFonts w:ascii="Times New Roman" w:hAnsi="Times New Roman" w:cs="Times New Roman"/>
                <w:color w:val="000000"/>
                <w:sz w:val="20"/>
                <w:szCs w:val="20"/>
              </w:rPr>
              <w:t>D(MPR)</w:t>
            </w:r>
          </w:p>
        </w:tc>
        <w:tc>
          <w:tcPr>
            <w:tcW w:w="189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w:t>
            </w:r>
          </w:p>
        </w:tc>
        <w:tc>
          <w:tcPr>
            <w:tcW w:w="198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w:t>
            </w:r>
          </w:p>
        </w:tc>
        <w:tc>
          <w:tcPr>
            <w:tcW w:w="198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-0.004 (0.080)</w:t>
            </w:r>
          </w:p>
        </w:tc>
        <w:tc>
          <w:tcPr>
            <w:tcW w:w="189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-4.988 (3.752)</w:t>
            </w:r>
          </w:p>
        </w:tc>
      </w:tr>
      <w:tr w:rsidR="00C11B0D" w:rsidRPr="000F3050" w:rsidTr="00FE4F82">
        <w:tc>
          <w:tcPr>
            <w:tcW w:w="3240" w:type="dxa"/>
          </w:tcPr>
          <w:p w:rsidR="00C11B0D" w:rsidRPr="000F3050" w:rsidRDefault="00C11B0D" w:rsidP="00FE4F82">
            <w:pPr>
              <w:spacing w:after="0"/>
              <w:jc w:val="center"/>
              <w:rPr>
                <w:rFonts w:ascii="Times New Roman" w:hAnsi="Times New Roman" w:cs="Times New Roman"/>
                <w:color w:val="000000"/>
                <w:sz w:val="20"/>
                <w:szCs w:val="20"/>
              </w:rPr>
            </w:pPr>
            <w:r w:rsidRPr="000F3050">
              <w:rPr>
                <w:rFonts w:ascii="Times New Roman" w:hAnsi="Times New Roman" w:cs="Times New Roman"/>
                <w:color w:val="000000"/>
                <w:sz w:val="20"/>
                <w:szCs w:val="20"/>
              </w:rPr>
              <w:t>D(MPR(-1))</w:t>
            </w:r>
          </w:p>
        </w:tc>
        <w:tc>
          <w:tcPr>
            <w:tcW w:w="189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w:t>
            </w:r>
          </w:p>
        </w:tc>
        <w:tc>
          <w:tcPr>
            <w:tcW w:w="198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w:t>
            </w:r>
          </w:p>
        </w:tc>
        <w:tc>
          <w:tcPr>
            <w:tcW w:w="198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0.248 (0.095)**</w:t>
            </w:r>
          </w:p>
        </w:tc>
        <w:tc>
          <w:tcPr>
            <w:tcW w:w="189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-7.957 (4.128)*</w:t>
            </w:r>
          </w:p>
        </w:tc>
      </w:tr>
      <w:tr w:rsidR="00C11B0D" w:rsidRPr="000F3050" w:rsidTr="00FE4F82">
        <w:tc>
          <w:tcPr>
            <w:tcW w:w="324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color w:val="000000"/>
                <w:sz w:val="20"/>
                <w:szCs w:val="20"/>
              </w:rPr>
              <w:lastRenderedPageBreak/>
              <w:t>D(LOPEN)</w:t>
            </w:r>
          </w:p>
        </w:tc>
        <w:tc>
          <w:tcPr>
            <w:tcW w:w="189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0.799 (0.178)***</w:t>
            </w:r>
          </w:p>
        </w:tc>
        <w:tc>
          <w:tcPr>
            <w:tcW w:w="198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w:t>
            </w:r>
          </w:p>
        </w:tc>
        <w:tc>
          <w:tcPr>
            <w:tcW w:w="198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-0.021 (0.037)</w:t>
            </w:r>
          </w:p>
        </w:tc>
        <w:tc>
          <w:tcPr>
            <w:tcW w:w="189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-1.906 (1.559)</w:t>
            </w:r>
          </w:p>
        </w:tc>
      </w:tr>
      <w:tr w:rsidR="00C11B0D" w:rsidRPr="000F3050" w:rsidTr="00FE4F82">
        <w:tc>
          <w:tcPr>
            <w:tcW w:w="324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color w:val="000000"/>
                <w:sz w:val="20"/>
                <w:szCs w:val="20"/>
              </w:rPr>
              <w:t>D(LOPEN(-1))</w:t>
            </w:r>
          </w:p>
        </w:tc>
        <w:tc>
          <w:tcPr>
            <w:tcW w:w="189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0.022 (0.185)</w:t>
            </w:r>
          </w:p>
        </w:tc>
        <w:tc>
          <w:tcPr>
            <w:tcW w:w="198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w:t>
            </w:r>
          </w:p>
        </w:tc>
        <w:tc>
          <w:tcPr>
            <w:tcW w:w="198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w:t>
            </w:r>
          </w:p>
        </w:tc>
        <w:tc>
          <w:tcPr>
            <w:tcW w:w="189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4.967 (1.607)***</w:t>
            </w:r>
          </w:p>
        </w:tc>
      </w:tr>
      <w:tr w:rsidR="00C11B0D" w:rsidRPr="000F3050" w:rsidTr="00FE4F82">
        <w:tc>
          <w:tcPr>
            <w:tcW w:w="3240" w:type="dxa"/>
            <w:vAlign w:val="bottom"/>
          </w:tcPr>
          <w:p w:rsidR="00C11B0D" w:rsidRPr="000F3050" w:rsidRDefault="00C11B0D" w:rsidP="00FE4F82">
            <w:pPr>
              <w:autoSpaceDE w:val="0"/>
              <w:autoSpaceDN w:val="0"/>
              <w:adjustRightInd w:val="0"/>
              <w:spacing w:after="0"/>
              <w:jc w:val="center"/>
              <w:rPr>
                <w:rFonts w:ascii="Times New Roman" w:hAnsi="Times New Roman" w:cs="Times New Roman"/>
                <w:color w:val="000000"/>
                <w:sz w:val="20"/>
                <w:szCs w:val="20"/>
              </w:rPr>
            </w:pPr>
            <w:r w:rsidRPr="000F3050">
              <w:rPr>
                <w:rFonts w:ascii="Times New Roman" w:hAnsi="Times New Roman" w:cs="Times New Roman"/>
                <w:color w:val="000000"/>
                <w:sz w:val="20"/>
                <w:szCs w:val="20"/>
              </w:rPr>
              <w:t>D(LOPEN(-2))</w:t>
            </w:r>
          </w:p>
        </w:tc>
        <w:tc>
          <w:tcPr>
            <w:tcW w:w="189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0.451 (0.187)**</w:t>
            </w:r>
          </w:p>
        </w:tc>
        <w:tc>
          <w:tcPr>
            <w:tcW w:w="198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w:t>
            </w:r>
          </w:p>
        </w:tc>
        <w:tc>
          <w:tcPr>
            <w:tcW w:w="198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w:t>
            </w:r>
          </w:p>
        </w:tc>
        <w:tc>
          <w:tcPr>
            <w:tcW w:w="189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w:t>
            </w:r>
          </w:p>
        </w:tc>
      </w:tr>
      <w:tr w:rsidR="00C11B0D" w:rsidRPr="000F3050" w:rsidTr="00FE4F82">
        <w:tc>
          <w:tcPr>
            <w:tcW w:w="3240" w:type="dxa"/>
            <w:vAlign w:val="bottom"/>
          </w:tcPr>
          <w:p w:rsidR="00C11B0D" w:rsidRPr="000F3050" w:rsidRDefault="00C11B0D" w:rsidP="00FE4F82">
            <w:pPr>
              <w:autoSpaceDE w:val="0"/>
              <w:autoSpaceDN w:val="0"/>
              <w:adjustRightInd w:val="0"/>
              <w:spacing w:after="0"/>
              <w:jc w:val="center"/>
              <w:rPr>
                <w:rFonts w:ascii="Times New Roman" w:hAnsi="Times New Roman" w:cs="Times New Roman"/>
                <w:color w:val="000000"/>
                <w:sz w:val="20"/>
                <w:szCs w:val="20"/>
              </w:rPr>
            </w:pPr>
            <w:r w:rsidRPr="000F3050">
              <w:rPr>
                <w:rFonts w:ascii="Times New Roman" w:hAnsi="Times New Roman" w:cs="Times New Roman"/>
                <w:color w:val="000000"/>
                <w:sz w:val="20"/>
                <w:szCs w:val="20"/>
              </w:rPr>
              <w:t>D(LRGDP)</w:t>
            </w:r>
          </w:p>
        </w:tc>
        <w:tc>
          <w:tcPr>
            <w:tcW w:w="189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6.919 (0.988)***</w:t>
            </w:r>
          </w:p>
        </w:tc>
        <w:tc>
          <w:tcPr>
            <w:tcW w:w="198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0.128 (0.053)**</w:t>
            </w:r>
          </w:p>
        </w:tc>
        <w:tc>
          <w:tcPr>
            <w:tcW w:w="198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w:t>
            </w:r>
          </w:p>
        </w:tc>
        <w:tc>
          <w:tcPr>
            <w:tcW w:w="189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-0.019 (0.006)***</w:t>
            </w:r>
          </w:p>
        </w:tc>
      </w:tr>
      <w:tr w:rsidR="00C11B0D" w:rsidRPr="000F3050" w:rsidTr="00FE4F82">
        <w:tc>
          <w:tcPr>
            <w:tcW w:w="3240" w:type="dxa"/>
            <w:vAlign w:val="bottom"/>
          </w:tcPr>
          <w:p w:rsidR="00C11B0D" w:rsidRPr="000F3050" w:rsidRDefault="00C11B0D" w:rsidP="00FE4F82">
            <w:pPr>
              <w:autoSpaceDE w:val="0"/>
              <w:autoSpaceDN w:val="0"/>
              <w:adjustRightInd w:val="0"/>
              <w:spacing w:after="0"/>
              <w:jc w:val="center"/>
              <w:rPr>
                <w:rFonts w:ascii="Times New Roman" w:hAnsi="Times New Roman" w:cs="Times New Roman"/>
                <w:color w:val="000000"/>
                <w:sz w:val="20"/>
                <w:szCs w:val="20"/>
              </w:rPr>
            </w:pPr>
            <w:r w:rsidRPr="000F3050">
              <w:rPr>
                <w:rFonts w:ascii="Times New Roman" w:hAnsi="Times New Roman" w:cs="Times New Roman"/>
                <w:color w:val="000000"/>
                <w:sz w:val="20"/>
                <w:szCs w:val="20"/>
              </w:rPr>
              <w:t>D(RGDP(-1))</w:t>
            </w:r>
          </w:p>
        </w:tc>
        <w:tc>
          <w:tcPr>
            <w:tcW w:w="189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w:t>
            </w:r>
          </w:p>
        </w:tc>
        <w:tc>
          <w:tcPr>
            <w:tcW w:w="198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-0.137 (0.057)**</w:t>
            </w:r>
          </w:p>
        </w:tc>
        <w:tc>
          <w:tcPr>
            <w:tcW w:w="198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w:t>
            </w:r>
          </w:p>
        </w:tc>
        <w:tc>
          <w:tcPr>
            <w:tcW w:w="189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w:t>
            </w:r>
          </w:p>
        </w:tc>
      </w:tr>
      <w:tr w:rsidR="00C11B0D" w:rsidRPr="000F3050" w:rsidTr="00FE4F82">
        <w:tc>
          <w:tcPr>
            <w:tcW w:w="324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ECM(-1)</w:t>
            </w:r>
          </w:p>
        </w:tc>
        <w:tc>
          <w:tcPr>
            <w:tcW w:w="189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-0.741 (0.123)***</w:t>
            </w:r>
          </w:p>
        </w:tc>
        <w:tc>
          <w:tcPr>
            <w:tcW w:w="198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-0.137 (0.056)***</w:t>
            </w:r>
          </w:p>
        </w:tc>
        <w:tc>
          <w:tcPr>
            <w:tcW w:w="198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-0.225 (0.040)***</w:t>
            </w:r>
          </w:p>
        </w:tc>
        <w:tc>
          <w:tcPr>
            <w:tcW w:w="189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-1.237 (0.144)***</w:t>
            </w:r>
          </w:p>
        </w:tc>
      </w:tr>
      <w:tr w:rsidR="00C11B0D" w:rsidRPr="000F3050" w:rsidTr="00FE4F82">
        <w:tc>
          <w:tcPr>
            <w:tcW w:w="3240" w:type="dxa"/>
          </w:tcPr>
          <w:p w:rsidR="00C11B0D" w:rsidRPr="000F3050" w:rsidRDefault="00C11B0D" w:rsidP="00FE4F82">
            <w:pPr>
              <w:spacing w:after="0"/>
              <w:rPr>
                <w:rFonts w:ascii="Times New Roman" w:hAnsi="Times New Roman" w:cs="Times New Roman"/>
                <w:sz w:val="20"/>
                <w:szCs w:val="20"/>
              </w:rPr>
            </w:pPr>
            <w:r w:rsidRPr="000F3050">
              <w:rPr>
                <w:rFonts w:ascii="Times New Roman" w:hAnsi="Times New Roman" w:cs="Times New Roman"/>
                <w:sz w:val="20"/>
                <w:szCs w:val="20"/>
              </w:rPr>
              <w:t>R-square:</w:t>
            </w:r>
          </w:p>
          <w:p w:rsidR="00C11B0D" w:rsidRPr="000F3050" w:rsidRDefault="00C11B0D" w:rsidP="00FE4F82">
            <w:pPr>
              <w:spacing w:after="0"/>
              <w:rPr>
                <w:rFonts w:ascii="Times New Roman" w:hAnsi="Times New Roman" w:cs="Times New Roman"/>
                <w:sz w:val="20"/>
                <w:szCs w:val="20"/>
              </w:rPr>
            </w:pPr>
            <w:proofErr w:type="spellStart"/>
            <w:r w:rsidRPr="000F3050">
              <w:rPr>
                <w:rFonts w:ascii="Times New Roman" w:hAnsi="Times New Roman" w:cs="Times New Roman"/>
                <w:sz w:val="20"/>
                <w:szCs w:val="20"/>
              </w:rPr>
              <w:t>Dubin</w:t>
            </w:r>
            <w:proofErr w:type="spellEnd"/>
            <w:r w:rsidRPr="000F3050">
              <w:rPr>
                <w:rFonts w:ascii="Times New Roman" w:hAnsi="Times New Roman" w:cs="Times New Roman"/>
                <w:sz w:val="20"/>
                <w:szCs w:val="20"/>
              </w:rPr>
              <w:t>-Watson stat</w:t>
            </w:r>
          </w:p>
          <w:p w:rsidR="00C11B0D" w:rsidRPr="000F3050" w:rsidRDefault="00C11B0D" w:rsidP="00FE4F82">
            <w:pPr>
              <w:spacing w:after="0"/>
              <w:rPr>
                <w:rFonts w:ascii="Times New Roman" w:hAnsi="Times New Roman" w:cs="Times New Roman"/>
                <w:sz w:val="20"/>
                <w:szCs w:val="20"/>
              </w:rPr>
            </w:pPr>
            <w:r w:rsidRPr="000F3050">
              <w:rPr>
                <w:rFonts w:ascii="Times New Roman" w:hAnsi="Times New Roman" w:cs="Times New Roman"/>
                <w:sz w:val="20"/>
                <w:szCs w:val="20"/>
              </w:rPr>
              <w:t>LM test</w:t>
            </w:r>
          </w:p>
          <w:p w:rsidR="00C11B0D" w:rsidRPr="000F3050" w:rsidRDefault="00C11B0D" w:rsidP="00FE4F82">
            <w:pPr>
              <w:spacing w:after="0"/>
              <w:rPr>
                <w:rFonts w:ascii="Times New Roman" w:hAnsi="Times New Roman" w:cs="Times New Roman"/>
                <w:sz w:val="20"/>
                <w:szCs w:val="20"/>
              </w:rPr>
            </w:pPr>
            <w:proofErr w:type="spellStart"/>
            <w:r w:rsidRPr="000F3050">
              <w:rPr>
                <w:rFonts w:ascii="Times New Roman" w:hAnsi="Times New Roman" w:cs="Times New Roman"/>
                <w:sz w:val="20"/>
                <w:szCs w:val="20"/>
              </w:rPr>
              <w:t>Heteroskedasticity</w:t>
            </w:r>
            <w:proofErr w:type="spellEnd"/>
            <w:r w:rsidRPr="000F3050">
              <w:rPr>
                <w:rFonts w:ascii="Times New Roman" w:hAnsi="Times New Roman" w:cs="Times New Roman"/>
                <w:sz w:val="20"/>
                <w:szCs w:val="20"/>
              </w:rPr>
              <w:t xml:space="preserve"> test: ARCH(1)</w:t>
            </w:r>
          </w:p>
          <w:p w:rsidR="00C11B0D" w:rsidRPr="000F3050" w:rsidRDefault="00C11B0D" w:rsidP="00FE4F82">
            <w:pPr>
              <w:spacing w:after="0"/>
              <w:rPr>
                <w:rFonts w:ascii="Times New Roman" w:hAnsi="Times New Roman" w:cs="Times New Roman"/>
                <w:sz w:val="20"/>
                <w:szCs w:val="20"/>
              </w:rPr>
            </w:pPr>
            <w:r w:rsidRPr="000F3050">
              <w:rPr>
                <w:rFonts w:ascii="Times New Roman" w:hAnsi="Times New Roman" w:cs="Times New Roman"/>
                <w:sz w:val="20"/>
                <w:szCs w:val="20"/>
              </w:rPr>
              <w:t>Ramsey RESET test</w:t>
            </w:r>
          </w:p>
        </w:tc>
        <w:tc>
          <w:tcPr>
            <w:tcW w:w="189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0.667</w:t>
            </w:r>
          </w:p>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2.001</w:t>
            </w:r>
          </w:p>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0.37(0.69)</w:t>
            </w:r>
          </w:p>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1.32(0.26)</w:t>
            </w:r>
          </w:p>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2.19(0.15)</w:t>
            </w:r>
          </w:p>
        </w:tc>
        <w:tc>
          <w:tcPr>
            <w:tcW w:w="198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0.721</w:t>
            </w:r>
          </w:p>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2.246</w:t>
            </w:r>
          </w:p>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0.66(0.53)</w:t>
            </w:r>
          </w:p>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0.19(0.67)</w:t>
            </w:r>
          </w:p>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9.60(0.00)</w:t>
            </w:r>
          </w:p>
        </w:tc>
        <w:tc>
          <w:tcPr>
            <w:tcW w:w="198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0.583</w:t>
            </w:r>
          </w:p>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1.988</w:t>
            </w:r>
          </w:p>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0.48(0.62)</w:t>
            </w:r>
          </w:p>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0.003(0.95)</w:t>
            </w:r>
          </w:p>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0.01(0.98)</w:t>
            </w:r>
          </w:p>
        </w:tc>
        <w:tc>
          <w:tcPr>
            <w:tcW w:w="1890" w:type="dxa"/>
          </w:tcPr>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0.739</w:t>
            </w:r>
          </w:p>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2.046</w:t>
            </w:r>
          </w:p>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0.14(0.87)</w:t>
            </w:r>
          </w:p>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1.22(0.28)</w:t>
            </w:r>
          </w:p>
          <w:p w:rsidR="00C11B0D" w:rsidRPr="000F3050" w:rsidRDefault="00C11B0D" w:rsidP="00FE4F82">
            <w:pPr>
              <w:spacing w:after="0"/>
              <w:jc w:val="center"/>
              <w:rPr>
                <w:rFonts w:ascii="Times New Roman" w:hAnsi="Times New Roman" w:cs="Times New Roman"/>
                <w:sz w:val="20"/>
                <w:szCs w:val="20"/>
              </w:rPr>
            </w:pPr>
            <w:r w:rsidRPr="000F3050">
              <w:rPr>
                <w:rFonts w:ascii="Times New Roman" w:hAnsi="Times New Roman" w:cs="Times New Roman"/>
                <w:sz w:val="20"/>
                <w:szCs w:val="20"/>
              </w:rPr>
              <w:t>3.04(0.01)</w:t>
            </w:r>
          </w:p>
        </w:tc>
      </w:tr>
    </w:tbl>
    <w:p w:rsidR="00C11B0D" w:rsidRDefault="00C11B0D" w:rsidP="00C11B0D">
      <w:pPr>
        <w:jc w:val="both"/>
        <w:rPr>
          <w:rFonts w:ascii="Times New Roman" w:hAnsi="Times New Roman"/>
          <w:color w:val="000000"/>
        </w:rPr>
      </w:pPr>
      <w:r w:rsidRPr="004F37FB">
        <w:rPr>
          <w:rFonts w:ascii="Times New Roman" w:hAnsi="Times New Roman"/>
        </w:rPr>
        <w:t xml:space="preserve">Source: Computed. Note: *** implies significant at 1%, while ** implies significant at 5% and * significant at 10%. </w:t>
      </w:r>
      <w:r w:rsidRPr="004F37FB">
        <w:rPr>
          <w:rFonts w:ascii="Times New Roman" w:hAnsi="Times New Roman"/>
          <w:color w:val="000000"/>
        </w:rPr>
        <w:t>Figures in Parenthesis are the</w:t>
      </w:r>
      <w:r>
        <w:rPr>
          <w:rFonts w:ascii="Times New Roman" w:hAnsi="Times New Roman"/>
          <w:color w:val="000000"/>
        </w:rPr>
        <w:t xml:space="preserve"> standard error</w:t>
      </w:r>
      <w:r w:rsidRPr="004F37FB">
        <w:rPr>
          <w:rFonts w:ascii="Times New Roman" w:hAnsi="Times New Roman"/>
          <w:color w:val="000000"/>
        </w:rPr>
        <w:t>.</w:t>
      </w:r>
    </w:p>
    <w:p w:rsidR="00C11B0D" w:rsidRPr="00EF32C4" w:rsidRDefault="003D14A5" w:rsidP="00C11B0D">
      <w:pPr>
        <w:pStyle w:val="H2"/>
        <w:rPr>
          <w:sz w:val="24"/>
          <w:szCs w:val="24"/>
        </w:rPr>
      </w:pPr>
      <w:bookmarkStart w:id="50" w:name="_Toc115647128"/>
      <w:r>
        <w:rPr>
          <w:sz w:val="24"/>
          <w:szCs w:val="24"/>
        </w:rPr>
        <w:t>4.6</w:t>
      </w:r>
      <w:r>
        <w:rPr>
          <w:sz w:val="24"/>
          <w:szCs w:val="24"/>
        </w:rPr>
        <w:tab/>
      </w:r>
      <w:r w:rsidR="00C11B0D" w:rsidRPr="00EF32C4">
        <w:rPr>
          <w:sz w:val="24"/>
          <w:szCs w:val="24"/>
        </w:rPr>
        <w:t>Granger Causality Test</w:t>
      </w:r>
      <w:bookmarkEnd w:id="50"/>
    </w:p>
    <w:p w:rsidR="00C11B0D" w:rsidRPr="00EF32C4" w:rsidRDefault="00C11B0D" w:rsidP="00C11B0D">
      <w:pPr>
        <w:autoSpaceDE w:val="0"/>
        <w:autoSpaceDN w:val="0"/>
        <w:adjustRightInd w:val="0"/>
        <w:spacing w:before="240" w:after="0"/>
        <w:jc w:val="both"/>
        <w:rPr>
          <w:rFonts w:ascii="Times New Roman" w:hAnsi="Times New Roman" w:cs="Times New Roman"/>
          <w:sz w:val="24"/>
          <w:szCs w:val="24"/>
        </w:rPr>
      </w:pPr>
      <w:r w:rsidRPr="00EF32C4">
        <w:rPr>
          <w:rFonts w:ascii="Times New Roman" w:hAnsi="Times New Roman" w:cs="Times New Roman"/>
          <w:sz w:val="24"/>
          <w:szCs w:val="24"/>
        </w:rPr>
        <w:t xml:space="preserve">The granger causality test results presented in Table 10 is conducted to determine the direction of causal relationship between commercial banks’ export credits and non-oil exports performance in Nigeria. The result shows that there is a bi-directional causality between commercial banks’ export credits and total non-oil export (TNOE). This implies that Nigeria’s non-oil export and its growth is significantly influenced by commercial banks’ export credit (CBEC). </w:t>
      </w:r>
      <w:r w:rsidRPr="00EF32C4">
        <w:rPr>
          <w:rFonts w:ascii="Times New Roman" w:hAnsi="Times New Roman" w:cs="Times New Roman"/>
          <w:sz w:val="24"/>
          <w:szCs w:val="24"/>
          <w:lang w:val="en-US"/>
        </w:rPr>
        <w:t xml:space="preserve">This result is inconsistent with the findings of </w:t>
      </w:r>
      <w:proofErr w:type="spellStart"/>
      <w:r w:rsidRPr="00EF32C4">
        <w:rPr>
          <w:rFonts w:ascii="Times New Roman" w:hAnsi="Times New Roman" w:cs="Times New Roman"/>
          <w:bCs/>
          <w:sz w:val="24"/>
          <w:szCs w:val="24"/>
          <w:lang w:val="en-US"/>
        </w:rPr>
        <w:t>Elechi</w:t>
      </w:r>
      <w:proofErr w:type="spellEnd"/>
      <w:r w:rsidRPr="00EF32C4">
        <w:rPr>
          <w:rFonts w:ascii="Times New Roman" w:hAnsi="Times New Roman" w:cs="Times New Roman"/>
          <w:bCs/>
          <w:sz w:val="24"/>
          <w:szCs w:val="24"/>
          <w:lang w:val="en-US"/>
        </w:rPr>
        <w:t xml:space="preserve"> et al. (2016) who found no causality exists between </w:t>
      </w:r>
      <w:r w:rsidRPr="00EF32C4">
        <w:rPr>
          <w:rFonts w:ascii="Times New Roman" w:hAnsi="Times New Roman" w:cs="Times New Roman"/>
          <w:sz w:val="24"/>
          <w:szCs w:val="24"/>
          <w:lang w:val="en-US"/>
        </w:rPr>
        <w:t xml:space="preserve">commercial banks credit and non-oil exports performance in Nigeria. </w:t>
      </w:r>
      <w:r w:rsidRPr="00EF32C4">
        <w:rPr>
          <w:rFonts w:ascii="Times New Roman" w:hAnsi="Times New Roman" w:cs="Times New Roman"/>
          <w:sz w:val="24"/>
          <w:szCs w:val="24"/>
        </w:rPr>
        <w:t>Also, the result shows the existence of bi-directional causality between EXCR and TNOE. This implies that Nigeria’s non-oil export performance is significantly influenced by the exchange rate. This further confirms the empirical findings that the exchange rate is an important determinant that either enhances or constrains non-oil exports in Nigeria. In addition, the result shows the existence of bi-directional relationship between RGDP and total non-oil export.  This is expected because real GDP measures the size of the economy and non-oil export which is an activity sector constituted by trade is an important segment of GDP. Therefore, the higher the export level created by the non-oil sector, the higher the contribution of non-oil export to the GDP of Nigerian economy. However, between MPR and TNOE, INFR and TNOE, OPEN and TNOE, there exists no causal relationships. This is an indication that monetary policy rate (MPR), inflation rate (INFR), and trade openness (OPEN) do not have a significant impact on the performance of non-oil export in Nigeria.</w:t>
      </w:r>
    </w:p>
    <w:p w:rsidR="00C11B0D" w:rsidRPr="008B226A" w:rsidRDefault="00C11B0D" w:rsidP="00C11B0D">
      <w:pPr>
        <w:pStyle w:val="T1"/>
      </w:pPr>
      <w:bookmarkStart w:id="51" w:name="_Toc115647344"/>
      <w:r>
        <w:t>Table 10</w:t>
      </w:r>
      <w:r w:rsidRPr="008B226A">
        <w:t>: Result of Granger causality test</w:t>
      </w:r>
      <w:bookmarkEnd w:id="51"/>
    </w:p>
    <w:tbl>
      <w:tblPr>
        <w:tblStyle w:val="TableGrid"/>
        <w:tblW w:w="10615" w:type="dxa"/>
        <w:jc w:val="center"/>
        <w:tblLook w:val="04A0" w:firstRow="1" w:lastRow="0" w:firstColumn="1" w:lastColumn="0" w:noHBand="0" w:noVBand="1"/>
      </w:tblPr>
      <w:tblGrid>
        <w:gridCol w:w="5125"/>
        <w:gridCol w:w="2610"/>
        <w:gridCol w:w="1440"/>
        <w:gridCol w:w="1440"/>
      </w:tblGrid>
      <w:tr w:rsidR="00C11B0D" w:rsidRPr="00EF32C4" w:rsidTr="00FE4F82">
        <w:trPr>
          <w:jc w:val="center"/>
        </w:trPr>
        <w:tc>
          <w:tcPr>
            <w:tcW w:w="5125" w:type="dxa"/>
          </w:tcPr>
          <w:p w:rsidR="00C11B0D" w:rsidRPr="00EF32C4" w:rsidRDefault="00C11B0D" w:rsidP="00FE4F82">
            <w:pPr>
              <w:autoSpaceDE w:val="0"/>
              <w:autoSpaceDN w:val="0"/>
              <w:adjustRightInd w:val="0"/>
              <w:spacing w:after="0"/>
              <w:jc w:val="center"/>
              <w:rPr>
                <w:rFonts w:ascii="Times New Roman" w:hAnsi="Times New Roman" w:cs="Times New Roman"/>
                <w:bCs/>
                <w:sz w:val="20"/>
                <w:szCs w:val="20"/>
              </w:rPr>
            </w:pPr>
            <w:r w:rsidRPr="00EF32C4">
              <w:rPr>
                <w:rFonts w:ascii="Times New Roman" w:hAnsi="Times New Roman" w:cs="Times New Roman"/>
                <w:bCs/>
                <w:sz w:val="20"/>
                <w:szCs w:val="20"/>
              </w:rPr>
              <w:t>Null hypothesis</w:t>
            </w:r>
          </w:p>
        </w:tc>
        <w:tc>
          <w:tcPr>
            <w:tcW w:w="2610" w:type="dxa"/>
          </w:tcPr>
          <w:p w:rsidR="00C11B0D" w:rsidRPr="00EF32C4" w:rsidRDefault="00C11B0D" w:rsidP="00FE4F82">
            <w:pPr>
              <w:autoSpaceDE w:val="0"/>
              <w:autoSpaceDN w:val="0"/>
              <w:adjustRightInd w:val="0"/>
              <w:spacing w:after="0"/>
              <w:jc w:val="center"/>
              <w:rPr>
                <w:rFonts w:ascii="Times New Roman" w:hAnsi="Times New Roman" w:cs="Times New Roman"/>
                <w:bCs/>
                <w:sz w:val="20"/>
                <w:szCs w:val="20"/>
              </w:rPr>
            </w:pPr>
            <w:r w:rsidRPr="00EF32C4">
              <w:rPr>
                <w:rFonts w:ascii="Times New Roman" w:hAnsi="Times New Roman" w:cs="Times New Roman"/>
                <w:color w:val="000000"/>
                <w:sz w:val="20"/>
                <w:szCs w:val="20"/>
              </w:rPr>
              <w:t>F-Statistic</w:t>
            </w:r>
          </w:p>
        </w:tc>
        <w:tc>
          <w:tcPr>
            <w:tcW w:w="1440" w:type="dxa"/>
          </w:tcPr>
          <w:p w:rsidR="00C11B0D" w:rsidRPr="00EF32C4" w:rsidRDefault="00C11B0D" w:rsidP="00FE4F82">
            <w:pPr>
              <w:autoSpaceDE w:val="0"/>
              <w:autoSpaceDN w:val="0"/>
              <w:adjustRightInd w:val="0"/>
              <w:spacing w:after="0"/>
              <w:jc w:val="center"/>
              <w:rPr>
                <w:rFonts w:ascii="Times New Roman" w:hAnsi="Times New Roman" w:cs="Times New Roman"/>
                <w:bCs/>
                <w:sz w:val="20"/>
                <w:szCs w:val="20"/>
              </w:rPr>
            </w:pPr>
            <w:r w:rsidRPr="00EF32C4">
              <w:rPr>
                <w:rFonts w:ascii="Times New Roman" w:hAnsi="Times New Roman" w:cs="Times New Roman"/>
                <w:color w:val="000000"/>
                <w:sz w:val="20"/>
                <w:szCs w:val="20"/>
              </w:rPr>
              <w:t>Probability</w:t>
            </w:r>
          </w:p>
        </w:tc>
        <w:tc>
          <w:tcPr>
            <w:tcW w:w="1440" w:type="dxa"/>
          </w:tcPr>
          <w:p w:rsidR="00C11B0D" w:rsidRPr="00EF32C4" w:rsidRDefault="00C11B0D" w:rsidP="00FE4F82">
            <w:pPr>
              <w:autoSpaceDE w:val="0"/>
              <w:autoSpaceDN w:val="0"/>
              <w:adjustRightInd w:val="0"/>
              <w:spacing w:after="0"/>
              <w:jc w:val="center"/>
              <w:rPr>
                <w:rFonts w:ascii="Times New Roman" w:hAnsi="Times New Roman" w:cs="Times New Roman"/>
                <w:bCs/>
                <w:sz w:val="20"/>
                <w:szCs w:val="20"/>
              </w:rPr>
            </w:pPr>
            <w:r w:rsidRPr="00EF32C4">
              <w:rPr>
                <w:rFonts w:ascii="Times New Roman" w:hAnsi="Times New Roman" w:cs="Times New Roman"/>
                <w:bCs/>
                <w:sz w:val="20"/>
                <w:szCs w:val="20"/>
              </w:rPr>
              <w:t xml:space="preserve">Remarks </w:t>
            </w:r>
          </w:p>
        </w:tc>
      </w:tr>
      <w:tr w:rsidR="00C11B0D" w:rsidRPr="00EF32C4" w:rsidTr="00FE4F82">
        <w:trPr>
          <w:jc w:val="center"/>
        </w:trPr>
        <w:tc>
          <w:tcPr>
            <w:tcW w:w="5125" w:type="dxa"/>
          </w:tcPr>
          <w:p w:rsidR="00C11B0D" w:rsidRPr="00EF32C4" w:rsidRDefault="00C11B0D" w:rsidP="00FE4F82">
            <w:pPr>
              <w:autoSpaceDE w:val="0"/>
              <w:autoSpaceDN w:val="0"/>
              <w:adjustRightInd w:val="0"/>
              <w:spacing w:after="0"/>
              <w:rPr>
                <w:rFonts w:ascii="Times New Roman" w:hAnsi="Times New Roman" w:cs="Times New Roman"/>
                <w:b/>
                <w:bCs/>
                <w:sz w:val="20"/>
                <w:szCs w:val="20"/>
              </w:rPr>
            </w:pPr>
            <w:r w:rsidRPr="00EF32C4">
              <w:rPr>
                <w:rFonts w:ascii="Times New Roman" w:hAnsi="Times New Roman" w:cs="Times New Roman"/>
                <w:color w:val="000000"/>
                <w:sz w:val="20"/>
                <w:szCs w:val="20"/>
              </w:rPr>
              <w:t>CBEC does not Granger Cause TNOE</w:t>
            </w:r>
          </w:p>
        </w:tc>
        <w:tc>
          <w:tcPr>
            <w:tcW w:w="2610" w:type="dxa"/>
          </w:tcPr>
          <w:p w:rsidR="00C11B0D" w:rsidRPr="00EF32C4" w:rsidRDefault="00C11B0D" w:rsidP="00FE4F82">
            <w:pPr>
              <w:autoSpaceDE w:val="0"/>
              <w:autoSpaceDN w:val="0"/>
              <w:adjustRightInd w:val="0"/>
              <w:spacing w:after="0"/>
              <w:jc w:val="center"/>
              <w:rPr>
                <w:rFonts w:ascii="Times New Roman" w:hAnsi="Times New Roman" w:cs="Times New Roman"/>
                <w:bCs/>
                <w:sz w:val="20"/>
                <w:szCs w:val="20"/>
              </w:rPr>
            </w:pPr>
            <w:r w:rsidRPr="00EF32C4">
              <w:rPr>
                <w:rFonts w:ascii="Times New Roman" w:hAnsi="Times New Roman" w:cs="Times New Roman"/>
                <w:color w:val="000000"/>
                <w:sz w:val="20"/>
                <w:szCs w:val="20"/>
              </w:rPr>
              <w:t>3.25247</w:t>
            </w:r>
          </w:p>
        </w:tc>
        <w:tc>
          <w:tcPr>
            <w:tcW w:w="1440" w:type="dxa"/>
          </w:tcPr>
          <w:p w:rsidR="00C11B0D" w:rsidRPr="00EF32C4" w:rsidRDefault="00C11B0D" w:rsidP="00FE4F82">
            <w:pPr>
              <w:autoSpaceDE w:val="0"/>
              <w:autoSpaceDN w:val="0"/>
              <w:adjustRightInd w:val="0"/>
              <w:spacing w:after="0"/>
              <w:jc w:val="center"/>
              <w:rPr>
                <w:rFonts w:ascii="Times New Roman" w:hAnsi="Times New Roman" w:cs="Times New Roman"/>
                <w:bCs/>
                <w:sz w:val="20"/>
                <w:szCs w:val="20"/>
              </w:rPr>
            </w:pPr>
            <w:r w:rsidRPr="00EF32C4">
              <w:rPr>
                <w:rFonts w:ascii="Times New Roman" w:hAnsi="Times New Roman" w:cs="Times New Roman"/>
                <w:bCs/>
                <w:sz w:val="20"/>
                <w:szCs w:val="20"/>
              </w:rPr>
              <w:t>0.0510</w:t>
            </w:r>
          </w:p>
        </w:tc>
        <w:tc>
          <w:tcPr>
            <w:tcW w:w="1440" w:type="dxa"/>
          </w:tcPr>
          <w:p w:rsidR="00C11B0D" w:rsidRPr="00EF32C4" w:rsidRDefault="00C11B0D" w:rsidP="00FE4F82">
            <w:pPr>
              <w:autoSpaceDE w:val="0"/>
              <w:autoSpaceDN w:val="0"/>
              <w:adjustRightInd w:val="0"/>
              <w:spacing w:after="0"/>
              <w:jc w:val="center"/>
              <w:rPr>
                <w:rFonts w:ascii="Times New Roman" w:hAnsi="Times New Roman" w:cs="Times New Roman"/>
                <w:bCs/>
                <w:sz w:val="20"/>
                <w:szCs w:val="20"/>
              </w:rPr>
            </w:pPr>
            <w:r w:rsidRPr="00EF32C4">
              <w:rPr>
                <w:rFonts w:ascii="Times New Roman" w:hAnsi="Times New Roman" w:cs="Times New Roman"/>
                <w:bCs/>
                <w:sz w:val="20"/>
                <w:szCs w:val="20"/>
              </w:rPr>
              <w:t>Reject</w:t>
            </w:r>
          </w:p>
        </w:tc>
      </w:tr>
      <w:tr w:rsidR="00C11B0D" w:rsidRPr="00EF32C4" w:rsidTr="00FE4F82">
        <w:trPr>
          <w:jc w:val="center"/>
        </w:trPr>
        <w:tc>
          <w:tcPr>
            <w:tcW w:w="5125" w:type="dxa"/>
          </w:tcPr>
          <w:p w:rsidR="00C11B0D" w:rsidRPr="00EF32C4" w:rsidRDefault="00C11B0D" w:rsidP="00FE4F82">
            <w:pPr>
              <w:autoSpaceDE w:val="0"/>
              <w:autoSpaceDN w:val="0"/>
              <w:adjustRightInd w:val="0"/>
              <w:spacing w:after="0"/>
              <w:rPr>
                <w:rFonts w:ascii="Times New Roman" w:hAnsi="Times New Roman" w:cs="Times New Roman"/>
                <w:b/>
                <w:bCs/>
                <w:sz w:val="20"/>
                <w:szCs w:val="20"/>
              </w:rPr>
            </w:pPr>
            <w:r w:rsidRPr="00EF32C4">
              <w:rPr>
                <w:rFonts w:ascii="Times New Roman" w:hAnsi="Times New Roman" w:cs="Times New Roman"/>
                <w:color w:val="000000"/>
                <w:sz w:val="20"/>
                <w:szCs w:val="20"/>
              </w:rPr>
              <w:t>TNOE does not Granger Cause CBEC</w:t>
            </w:r>
          </w:p>
        </w:tc>
        <w:tc>
          <w:tcPr>
            <w:tcW w:w="2610" w:type="dxa"/>
          </w:tcPr>
          <w:p w:rsidR="00C11B0D" w:rsidRPr="00EF32C4" w:rsidRDefault="00C11B0D" w:rsidP="00FE4F82">
            <w:pPr>
              <w:autoSpaceDE w:val="0"/>
              <w:autoSpaceDN w:val="0"/>
              <w:adjustRightInd w:val="0"/>
              <w:spacing w:after="0"/>
              <w:jc w:val="center"/>
              <w:rPr>
                <w:rFonts w:ascii="Times New Roman" w:hAnsi="Times New Roman" w:cs="Times New Roman"/>
                <w:bCs/>
                <w:sz w:val="20"/>
                <w:szCs w:val="20"/>
              </w:rPr>
            </w:pPr>
            <w:r w:rsidRPr="00EF32C4">
              <w:rPr>
                <w:rFonts w:ascii="Times New Roman" w:hAnsi="Times New Roman" w:cs="Times New Roman"/>
                <w:color w:val="000000"/>
                <w:sz w:val="20"/>
                <w:szCs w:val="20"/>
              </w:rPr>
              <w:t>6.63110</w:t>
            </w:r>
          </w:p>
        </w:tc>
        <w:tc>
          <w:tcPr>
            <w:tcW w:w="1440" w:type="dxa"/>
            <w:vAlign w:val="bottom"/>
          </w:tcPr>
          <w:p w:rsidR="00C11B0D" w:rsidRPr="00EF32C4" w:rsidRDefault="00C11B0D" w:rsidP="00FE4F82">
            <w:pPr>
              <w:autoSpaceDE w:val="0"/>
              <w:autoSpaceDN w:val="0"/>
              <w:adjustRightInd w:val="0"/>
              <w:spacing w:after="0"/>
              <w:ind w:right="10"/>
              <w:jc w:val="center"/>
              <w:rPr>
                <w:rFonts w:ascii="Times New Roman" w:hAnsi="Times New Roman" w:cs="Times New Roman"/>
                <w:color w:val="000000"/>
                <w:sz w:val="20"/>
                <w:szCs w:val="20"/>
              </w:rPr>
            </w:pPr>
            <w:r w:rsidRPr="00EF32C4">
              <w:rPr>
                <w:rFonts w:ascii="Times New Roman" w:hAnsi="Times New Roman" w:cs="Times New Roman"/>
                <w:color w:val="000000"/>
                <w:sz w:val="20"/>
                <w:szCs w:val="20"/>
              </w:rPr>
              <w:t>0.0037</w:t>
            </w:r>
          </w:p>
        </w:tc>
        <w:tc>
          <w:tcPr>
            <w:tcW w:w="1440" w:type="dxa"/>
          </w:tcPr>
          <w:p w:rsidR="00C11B0D" w:rsidRPr="00EF32C4" w:rsidRDefault="00C11B0D" w:rsidP="00FE4F82">
            <w:pPr>
              <w:autoSpaceDE w:val="0"/>
              <w:autoSpaceDN w:val="0"/>
              <w:adjustRightInd w:val="0"/>
              <w:spacing w:after="0"/>
              <w:jc w:val="center"/>
              <w:rPr>
                <w:rFonts w:ascii="Times New Roman" w:hAnsi="Times New Roman" w:cs="Times New Roman"/>
                <w:bCs/>
                <w:sz w:val="20"/>
                <w:szCs w:val="20"/>
              </w:rPr>
            </w:pPr>
            <w:r w:rsidRPr="00EF32C4">
              <w:rPr>
                <w:rFonts w:ascii="Times New Roman" w:hAnsi="Times New Roman" w:cs="Times New Roman"/>
                <w:bCs/>
                <w:sz w:val="20"/>
                <w:szCs w:val="20"/>
              </w:rPr>
              <w:t>Reject</w:t>
            </w:r>
          </w:p>
        </w:tc>
      </w:tr>
      <w:tr w:rsidR="00C11B0D" w:rsidRPr="00EF32C4" w:rsidTr="00FE4F82">
        <w:trPr>
          <w:jc w:val="center"/>
        </w:trPr>
        <w:tc>
          <w:tcPr>
            <w:tcW w:w="5125" w:type="dxa"/>
          </w:tcPr>
          <w:p w:rsidR="00C11B0D" w:rsidRPr="00EF32C4" w:rsidRDefault="00C11B0D" w:rsidP="00FE4F82">
            <w:pPr>
              <w:autoSpaceDE w:val="0"/>
              <w:autoSpaceDN w:val="0"/>
              <w:adjustRightInd w:val="0"/>
              <w:spacing w:after="0"/>
              <w:rPr>
                <w:rFonts w:ascii="Times New Roman" w:hAnsi="Times New Roman" w:cs="Times New Roman"/>
                <w:b/>
                <w:bCs/>
                <w:sz w:val="20"/>
                <w:szCs w:val="20"/>
              </w:rPr>
            </w:pPr>
            <w:r w:rsidRPr="00EF32C4">
              <w:rPr>
                <w:rFonts w:ascii="Times New Roman" w:hAnsi="Times New Roman" w:cs="Times New Roman"/>
                <w:color w:val="000000"/>
                <w:sz w:val="20"/>
                <w:szCs w:val="20"/>
              </w:rPr>
              <w:t>EXCR does not Granger Cause TNOE</w:t>
            </w:r>
          </w:p>
        </w:tc>
        <w:tc>
          <w:tcPr>
            <w:tcW w:w="2610" w:type="dxa"/>
          </w:tcPr>
          <w:p w:rsidR="00C11B0D" w:rsidRPr="00EF32C4" w:rsidRDefault="00C11B0D" w:rsidP="00FE4F82">
            <w:pPr>
              <w:autoSpaceDE w:val="0"/>
              <w:autoSpaceDN w:val="0"/>
              <w:adjustRightInd w:val="0"/>
              <w:spacing w:after="0"/>
              <w:jc w:val="center"/>
              <w:rPr>
                <w:rFonts w:ascii="Times New Roman" w:hAnsi="Times New Roman" w:cs="Times New Roman"/>
                <w:bCs/>
                <w:sz w:val="20"/>
                <w:szCs w:val="20"/>
              </w:rPr>
            </w:pPr>
            <w:r w:rsidRPr="00EF32C4">
              <w:rPr>
                <w:rFonts w:ascii="Times New Roman" w:hAnsi="Times New Roman" w:cs="Times New Roman"/>
                <w:bCs/>
                <w:sz w:val="20"/>
                <w:szCs w:val="20"/>
              </w:rPr>
              <w:t>7.27310</w:t>
            </w:r>
          </w:p>
        </w:tc>
        <w:tc>
          <w:tcPr>
            <w:tcW w:w="1440" w:type="dxa"/>
            <w:vAlign w:val="bottom"/>
          </w:tcPr>
          <w:p w:rsidR="00C11B0D" w:rsidRPr="00EF32C4" w:rsidRDefault="00C11B0D" w:rsidP="00FE4F82">
            <w:pPr>
              <w:autoSpaceDE w:val="0"/>
              <w:autoSpaceDN w:val="0"/>
              <w:adjustRightInd w:val="0"/>
              <w:spacing w:after="0"/>
              <w:ind w:right="10"/>
              <w:jc w:val="center"/>
              <w:rPr>
                <w:rFonts w:ascii="Times New Roman" w:hAnsi="Times New Roman" w:cs="Times New Roman"/>
                <w:color w:val="000000"/>
                <w:sz w:val="20"/>
                <w:szCs w:val="20"/>
              </w:rPr>
            </w:pPr>
            <w:r w:rsidRPr="00EF32C4">
              <w:rPr>
                <w:rFonts w:ascii="Times New Roman" w:hAnsi="Times New Roman" w:cs="Times New Roman"/>
                <w:color w:val="000000"/>
                <w:sz w:val="20"/>
                <w:szCs w:val="20"/>
              </w:rPr>
              <w:t>0.0023</w:t>
            </w:r>
          </w:p>
        </w:tc>
        <w:tc>
          <w:tcPr>
            <w:tcW w:w="1440" w:type="dxa"/>
          </w:tcPr>
          <w:p w:rsidR="00C11B0D" w:rsidRPr="00EF32C4" w:rsidRDefault="00C11B0D" w:rsidP="00FE4F82">
            <w:pPr>
              <w:autoSpaceDE w:val="0"/>
              <w:autoSpaceDN w:val="0"/>
              <w:adjustRightInd w:val="0"/>
              <w:spacing w:after="0"/>
              <w:jc w:val="center"/>
              <w:rPr>
                <w:rFonts w:ascii="Times New Roman" w:hAnsi="Times New Roman" w:cs="Times New Roman"/>
                <w:bCs/>
                <w:sz w:val="20"/>
                <w:szCs w:val="20"/>
              </w:rPr>
            </w:pPr>
            <w:r w:rsidRPr="00EF32C4">
              <w:rPr>
                <w:rFonts w:ascii="Times New Roman" w:hAnsi="Times New Roman" w:cs="Times New Roman"/>
                <w:bCs/>
                <w:sz w:val="20"/>
                <w:szCs w:val="20"/>
              </w:rPr>
              <w:t>Reject</w:t>
            </w:r>
          </w:p>
        </w:tc>
      </w:tr>
      <w:tr w:rsidR="00C11B0D" w:rsidRPr="00EF32C4" w:rsidTr="00FE4F82">
        <w:trPr>
          <w:jc w:val="center"/>
        </w:trPr>
        <w:tc>
          <w:tcPr>
            <w:tcW w:w="5125" w:type="dxa"/>
          </w:tcPr>
          <w:p w:rsidR="00C11B0D" w:rsidRPr="00EF32C4" w:rsidRDefault="00C11B0D" w:rsidP="00FE4F82">
            <w:pPr>
              <w:autoSpaceDE w:val="0"/>
              <w:autoSpaceDN w:val="0"/>
              <w:adjustRightInd w:val="0"/>
              <w:spacing w:after="0"/>
              <w:rPr>
                <w:rFonts w:ascii="Times New Roman" w:hAnsi="Times New Roman" w:cs="Times New Roman"/>
                <w:b/>
                <w:bCs/>
                <w:sz w:val="20"/>
                <w:szCs w:val="20"/>
              </w:rPr>
            </w:pPr>
            <w:r w:rsidRPr="00EF32C4">
              <w:rPr>
                <w:rFonts w:ascii="Times New Roman" w:hAnsi="Times New Roman" w:cs="Times New Roman"/>
                <w:color w:val="000000"/>
                <w:sz w:val="20"/>
                <w:szCs w:val="20"/>
              </w:rPr>
              <w:t>TNOE does not Granger Cause EXCR</w:t>
            </w:r>
          </w:p>
        </w:tc>
        <w:tc>
          <w:tcPr>
            <w:tcW w:w="2610" w:type="dxa"/>
          </w:tcPr>
          <w:p w:rsidR="00C11B0D" w:rsidRPr="00EF32C4" w:rsidRDefault="00C11B0D" w:rsidP="00FE4F82">
            <w:pPr>
              <w:autoSpaceDE w:val="0"/>
              <w:autoSpaceDN w:val="0"/>
              <w:adjustRightInd w:val="0"/>
              <w:spacing w:after="0"/>
              <w:jc w:val="center"/>
              <w:rPr>
                <w:rFonts w:ascii="Times New Roman" w:hAnsi="Times New Roman" w:cs="Times New Roman"/>
                <w:bCs/>
                <w:sz w:val="20"/>
                <w:szCs w:val="20"/>
              </w:rPr>
            </w:pPr>
            <w:r w:rsidRPr="00EF32C4">
              <w:rPr>
                <w:rFonts w:ascii="Times New Roman" w:hAnsi="Times New Roman" w:cs="Times New Roman"/>
                <w:bCs/>
                <w:sz w:val="20"/>
                <w:szCs w:val="20"/>
              </w:rPr>
              <w:t>2.56123</w:t>
            </w:r>
          </w:p>
        </w:tc>
        <w:tc>
          <w:tcPr>
            <w:tcW w:w="1440" w:type="dxa"/>
          </w:tcPr>
          <w:p w:rsidR="00C11B0D" w:rsidRPr="00EF32C4" w:rsidRDefault="00C11B0D" w:rsidP="00FE4F82">
            <w:pPr>
              <w:autoSpaceDE w:val="0"/>
              <w:autoSpaceDN w:val="0"/>
              <w:adjustRightInd w:val="0"/>
              <w:spacing w:after="0"/>
              <w:jc w:val="center"/>
              <w:rPr>
                <w:rFonts w:ascii="Times New Roman" w:hAnsi="Times New Roman" w:cs="Times New Roman"/>
                <w:bCs/>
                <w:sz w:val="20"/>
                <w:szCs w:val="20"/>
              </w:rPr>
            </w:pPr>
            <w:r w:rsidRPr="00EF32C4">
              <w:rPr>
                <w:rFonts w:ascii="Times New Roman" w:hAnsi="Times New Roman" w:cs="Times New Roman"/>
                <w:bCs/>
                <w:sz w:val="20"/>
                <w:szCs w:val="20"/>
              </w:rPr>
              <w:t>0.0920</w:t>
            </w:r>
          </w:p>
        </w:tc>
        <w:tc>
          <w:tcPr>
            <w:tcW w:w="1440" w:type="dxa"/>
          </w:tcPr>
          <w:p w:rsidR="00C11B0D" w:rsidRPr="00EF32C4" w:rsidRDefault="00C11B0D" w:rsidP="00FE4F82">
            <w:pPr>
              <w:autoSpaceDE w:val="0"/>
              <w:autoSpaceDN w:val="0"/>
              <w:adjustRightInd w:val="0"/>
              <w:spacing w:after="0"/>
              <w:jc w:val="center"/>
              <w:rPr>
                <w:rFonts w:ascii="Times New Roman" w:hAnsi="Times New Roman" w:cs="Times New Roman"/>
                <w:bCs/>
                <w:sz w:val="20"/>
                <w:szCs w:val="20"/>
              </w:rPr>
            </w:pPr>
            <w:r w:rsidRPr="00EF32C4">
              <w:rPr>
                <w:rFonts w:ascii="Times New Roman" w:hAnsi="Times New Roman" w:cs="Times New Roman"/>
                <w:bCs/>
                <w:sz w:val="20"/>
                <w:szCs w:val="20"/>
              </w:rPr>
              <w:t>Reject</w:t>
            </w:r>
          </w:p>
        </w:tc>
      </w:tr>
      <w:tr w:rsidR="00C11B0D" w:rsidRPr="00EF32C4" w:rsidTr="00FE4F82">
        <w:trPr>
          <w:jc w:val="center"/>
        </w:trPr>
        <w:tc>
          <w:tcPr>
            <w:tcW w:w="5125" w:type="dxa"/>
          </w:tcPr>
          <w:p w:rsidR="00C11B0D" w:rsidRPr="00EF32C4" w:rsidRDefault="00C11B0D" w:rsidP="00FE4F82">
            <w:pPr>
              <w:autoSpaceDE w:val="0"/>
              <w:autoSpaceDN w:val="0"/>
              <w:adjustRightInd w:val="0"/>
              <w:spacing w:after="0"/>
              <w:rPr>
                <w:rFonts w:ascii="Times New Roman" w:hAnsi="Times New Roman" w:cs="Times New Roman"/>
                <w:b/>
                <w:bCs/>
                <w:sz w:val="20"/>
                <w:szCs w:val="20"/>
              </w:rPr>
            </w:pPr>
            <w:r w:rsidRPr="00EF32C4">
              <w:rPr>
                <w:rFonts w:ascii="Times New Roman" w:hAnsi="Times New Roman" w:cs="Times New Roman"/>
                <w:color w:val="000000"/>
                <w:sz w:val="20"/>
                <w:szCs w:val="20"/>
              </w:rPr>
              <w:t>MPR does not Granger Cause TNOE</w:t>
            </w:r>
          </w:p>
        </w:tc>
        <w:tc>
          <w:tcPr>
            <w:tcW w:w="2610" w:type="dxa"/>
          </w:tcPr>
          <w:p w:rsidR="00C11B0D" w:rsidRPr="00EF32C4" w:rsidRDefault="00C11B0D" w:rsidP="00FE4F82">
            <w:pPr>
              <w:autoSpaceDE w:val="0"/>
              <w:autoSpaceDN w:val="0"/>
              <w:adjustRightInd w:val="0"/>
              <w:spacing w:after="0"/>
              <w:jc w:val="center"/>
              <w:rPr>
                <w:rFonts w:ascii="Times New Roman" w:hAnsi="Times New Roman" w:cs="Times New Roman"/>
                <w:bCs/>
                <w:sz w:val="20"/>
                <w:szCs w:val="20"/>
              </w:rPr>
            </w:pPr>
            <w:r w:rsidRPr="00EF32C4">
              <w:rPr>
                <w:rFonts w:ascii="Times New Roman" w:hAnsi="Times New Roman" w:cs="Times New Roman"/>
                <w:bCs/>
                <w:sz w:val="20"/>
                <w:szCs w:val="20"/>
              </w:rPr>
              <w:t>0.04586</w:t>
            </w:r>
          </w:p>
        </w:tc>
        <w:tc>
          <w:tcPr>
            <w:tcW w:w="1440" w:type="dxa"/>
          </w:tcPr>
          <w:p w:rsidR="00C11B0D" w:rsidRPr="00EF32C4" w:rsidRDefault="00C11B0D" w:rsidP="00FE4F82">
            <w:pPr>
              <w:autoSpaceDE w:val="0"/>
              <w:autoSpaceDN w:val="0"/>
              <w:adjustRightInd w:val="0"/>
              <w:spacing w:after="0"/>
              <w:jc w:val="center"/>
              <w:rPr>
                <w:rFonts w:ascii="Times New Roman" w:hAnsi="Times New Roman" w:cs="Times New Roman"/>
                <w:bCs/>
                <w:sz w:val="20"/>
                <w:szCs w:val="20"/>
              </w:rPr>
            </w:pPr>
            <w:r w:rsidRPr="00EF32C4">
              <w:rPr>
                <w:rFonts w:ascii="Times New Roman" w:hAnsi="Times New Roman" w:cs="Times New Roman"/>
                <w:bCs/>
                <w:sz w:val="20"/>
                <w:szCs w:val="20"/>
              </w:rPr>
              <w:t>0.9552</w:t>
            </w:r>
          </w:p>
        </w:tc>
        <w:tc>
          <w:tcPr>
            <w:tcW w:w="1440" w:type="dxa"/>
          </w:tcPr>
          <w:p w:rsidR="00C11B0D" w:rsidRPr="00EF32C4" w:rsidRDefault="00C11B0D" w:rsidP="00FE4F82">
            <w:pPr>
              <w:autoSpaceDE w:val="0"/>
              <w:autoSpaceDN w:val="0"/>
              <w:adjustRightInd w:val="0"/>
              <w:spacing w:after="0"/>
              <w:jc w:val="center"/>
              <w:rPr>
                <w:rFonts w:ascii="Times New Roman" w:hAnsi="Times New Roman" w:cs="Times New Roman"/>
                <w:bCs/>
                <w:sz w:val="20"/>
                <w:szCs w:val="20"/>
              </w:rPr>
            </w:pPr>
            <w:r w:rsidRPr="00EF32C4">
              <w:rPr>
                <w:rFonts w:ascii="Times New Roman" w:hAnsi="Times New Roman" w:cs="Times New Roman"/>
                <w:bCs/>
                <w:sz w:val="20"/>
                <w:szCs w:val="20"/>
              </w:rPr>
              <w:t>Accept</w:t>
            </w:r>
          </w:p>
        </w:tc>
      </w:tr>
      <w:tr w:rsidR="00C11B0D" w:rsidRPr="00EF32C4" w:rsidTr="00FE4F82">
        <w:trPr>
          <w:jc w:val="center"/>
        </w:trPr>
        <w:tc>
          <w:tcPr>
            <w:tcW w:w="5125" w:type="dxa"/>
          </w:tcPr>
          <w:p w:rsidR="00C11B0D" w:rsidRPr="00EF32C4" w:rsidRDefault="00C11B0D" w:rsidP="00FE4F82">
            <w:pPr>
              <w:autoSpaceDE w:val="0"/>
              <w:autoSpaceDN w:val="0"/>
              <w:adjustRightInd w:val="0"/>
              <w:spacing w:after="0"/>
              <w:rPr>
                <w:rFonts w:ascii="Times New Roman" w:hAnsi="Times New Roman" w:cs="Times New Roman"/>
                <w:b/>
                <w:bCs/>
                <w:sz w:val="20"/>
                <w:szCs w:val="20"/>
              </w:rPr>
            </w:pPr>
            <w:r w:rsidRPr="00EF32C4">
              <w:rPr>
                <w:rFonts w:ascii="Times New Roman" w:hAnsi="Times New Roman" w:cs="Times New Roman"/>
                <w:color w:val="000000"/>
                <w:sz w:val="20"/>
                <w:szCs w:val="20"/>
              </w:rPr>
              <w:t>TNOE does not Granger Cause MPR</w:t>
            </w:r>
          </w:p>
        </w:tc>
        <w:tc>
          <w:tcPr>
            <w:tcW w:w="2610" w:type="dxa"/>
            <w:vAlign w:val="bottom"/>
          </w:tcPr>
          <w:p w:rsidR="00C11B0D" w:rsidRPr="00EF32C4" w:rsidRDefault="00C11B0D" w:rsidP="00FE4F82">
            <w:pPr>
              <w:autoSpaceDE w:val="0"/>
              <w:autoSpaceDN w:val="0"/>
              <w:adjustRightInd w:val="0"/>
              <w:spacing w:after="0"/>
              <w:jc w:val="center"/>
              <w:rPr>
                <w:rFonts w:ascii="Times New Roman" w:hAnsi="Times New Roman" w:cs="Times New Roman"/>
                <w:color w:val="000000"/>
                <w:sz w:val="20"/>
                <w:szCs w:val="20"/>
              </w:rPr>
            </w:pPr>
            <w:r w:rsidRPr="00EF32C4">
              <w:rPr>
                <w:rFonts w:ascii="Times New Roman" w:hAnsi="Times New Roman" w:cs="Times New Roman"/>
                <w:color w:val="000000"/>
                <w:sz w:val="20"/>
                <w:szCs w:val="20"/>
              </w:rPr>
              <w:t>0.43017</w:t>
            </w:r>
          </w:p>
        </w:tc>
        <w:tc>
          <w:tcPr>
            <w:tcW w:w="1440" w:type="dxa"/>
            <w:vAlign w:val="bottom"/>
          </w:tcPr>
          <w:p w:rsidR="00C11B0D" w:rsidRPr="00EF32C4" w:rsidRDefault="00C11B0D" w:rsidP="00FE4F82">
            <w:pPr>
              <w:autoSpaceDE w:val="0"/>
              <w:autoSpaceDN w:val="0"/>
              <w:adjustRightInd w:val="0"/>
              <w:spacing w:after="0"/>
              <w:ind w:right="10"/>
              <w:jc w:val="center"/>
              <w:rPr>
                <w:rFonts w:ascii="Times New Roman" w:hAnsi="Times New Roman" w:cs="Times New Roman"/>
                <w:color w:val="000000"/>
                <w:sz w:val="20"/>
                <w:szCs w:val="20"/>
              </w:rPr>
            </w:pPr>
            <w:r w:rsidRPr="00EF32C4">
              <w:rPr>
                <w:rFonts w:ascii="Times New Roman" w:hAnsi="Times New Roman" w:cs="Times New Roman"/>
                <w:color w:val="000000"/>
                <w:sz w:val="20"/>
                <w:szCs w:val="20"/>
              </w:rPr>
              <w:t>0.6539</w:t>
            </w:r>
          </w:p>
        </w:tc>
        <w:tc>
          <w:tcPr>
            <w:tcW w:w="1440" w:type="dxa"/>
          </w:tcPr>
          <w:p w:rsidR="00C11B0D" w:rsidRPr="00EF32C4" w:rsidRDefault="00C11B0D" w:rsidP="00FE4F82">
            <w:pPr>
              <w:autoSpaceDE w:val="0"/>
              <w:autoSpaceDN w:val="0"/>
              <w:adjustRightInd w:val="0"/>
              <w:spacing w:after="0"/>
              <w:jc w:val="center"/>
              <w:rPr>
                <w:rFonts w:ascii="Times New Roman" w:hAnsi="Times New Roman" w:cs="Times New Roman"/>
                <w:bCs/>
                <w:sz w:val="20"/>
                <w:szCs w:val="20"/>
              </w:rPr>
            </w:pPr>
            <w:r w:rsidRPr="00EF32C4">
              <w:rPr>
                <w:rFonts w:ascii="Times New Roman" w:hAnsi="Times New Roman" w:cs="Times New Roman"/>
                <w:bCs/>
                <w:sz w:val="20"/>
                <w:szCs w:val="20"/>
              </w:rPr>
              <w:t>Accept</w:t>
            </w:r>
          </w:p>
        </w:tc>
      </w:tr>
      <w:tr w:rsidR="00C11B0D" w:rsidRPr="00EF32C4" w:rsidTr="00FE4F82">
        <w:trPr>
          <w:jc w:val="center"/>
        </w:trPr>
        <w:tc>
          <w:tcPr>
            <w:tcW w:w="5125" w:type="dxa"/>
          </w:tcPr>
          <w:p w:rsidR="00C11B0D" w:rsidRPr="00EF32C4" w:rsidRDefault="00C11B0D" w:rsidP="00FE4F82">
            <w:pPr>
              <w:autoSpaceDE w:val="0"/>
              <w:autoSpaceDN w:val="0"/>
              <w:adjustRightInd w:val="0"/>
              <w:spacing w:after="0"/>
              <w:rPr>
                <w:rFonts w:ascii="Times New Roman" w:hAnsi="Times New Roman" w:cs="Times New Roman"/>
                <w:b/>
                <w:bCs/>
                <w:sz w:val="20"/>
                <w:szCs w:val="20"/>
              </w:rPr>
            </w:pPr>
            <w:r w:rsidRPr="00EF32C4">
              <w:rPr>
                <w:rFonts w:ascii="Times New Roman" w:hAnsi="Times New Roman" w:cs="Times New Roman"/>
                <w:color w:val="000000"/>
                <w:sz w:val="20"/>
                <w:szCs w:val="20"/>
              </w:rPr>
              <w:t>INFR does not Granger Cause TNOE</w:t>
            </w:r>
          </w:p>
        </w:tc>
        <w:tc>
          <w:tcPr>
            <w:tcW w:w="2610" w:type="dxa"/>
            <w:vAlign w:val="bottom"/>
          </w:tcPr>
          <w:p w:rsidR="00C11B0D" w:rsidRPr="00EF32C4" w:rsidRDefault="00C11B0D" w:rsidP="00FE4F82">
            <w:pPr>
              <w:autoSpaceDE w:val="0"/>
              <w:autoSpaceDN w:val="0"/>
              <w:adjustRightInd w:val="0"/>
              <w:spacing w:after="0"/>
              <w:jc w:val="center"/>
              <w:rPr>
                <w:rFonts w:ascii="Times New Roman" w:hAnsi="Times New Roman" w:cs="Times New Roman"/>
                <w:color w:val="000000"/>
                <w:sz w:val="20"/>
                <w:szCs w:val="20"/>
              </w:rPr>
            </w:pPr>
            <w:r w:rsidRPr="00EF32C4">
              <w:rPr>
                <w:rFonts w:ascii="Times New Roman" w:hAnsi="Times New Roman" w:cs="Times New Roman"/>
                <w:color w:val="000000"/>
                <w:sz w:val="20"/>
                <w:szCs w:val="20"/>
              </w:rPr>
              <w:t>0.04526</w:t>
            </w:r>
          </w:p>
        </w:tc>
        <w:tc>
          <w:tcPr>
            <w:tcW w:w="1440" w:type="dxa"/>
            <w:vAlign w:val="bottom"/>
          </w:tcPr>
          <w:p w:rsidR="00C11B0D" w:rsidRPr="00EF32C4" w:rsidRDefault="00C11B0D" w:rsidP="00FE4F82">
            <w:pPr>
              <w:autoSpaceDE w:val="0"/>
              <w:autoSpaceDN w:val="0"/>
              <w:adjustRightInd w:val="0"/>
              <w:spacing w:after="0"/>
              <w:ind w:right="10"/>
              <w:jc w:val="center"/>
              <w:rPr>
                <w:rFonts w:ascii="Times New Roman" w:hAnsi="Times New Roman" w:cs="Times New Roman"/>
                <w:color w:val="000000"/>
                <w:sz w:val="20"/>
                <w:szCs w:val="20"/>
              </w:rPr>
            </w:pPr>
            <w:r w:rsidRPr="00EF32C4">
              <w:rPr>
                <w:rFonts w:ascii="Times New Roman" w:hAnsi="Times New Roman" w:cs="Times New Roman"/>
                <w:color w:val="000000"/>
                <w:sz w:val="20"/>
                <w:szCs w:val="20"/>
              </w:rPr>
              <w:t>0.9558</w:t>
            </w:r>
          </w:p>
        </w:tc>
        <w:tc>
          <w:tcPr>
            <w:tcW w:w="1440" w:type="dxa"/>
          </w:tcPr>
          <w:p w:rsidR="00C11B0D" w:rsidRPr="00EF32C4" w:rsidRDefault="00C11B0D" w:rsidP="00FE4F82">
            <w:pPr>
              <w:autoSpaceDE w:val="0"/>
              <w:autoSpaceDN w:val="0"/>
              <w:adjustRightInd w:val="0"/>
              <w:spacing w:after="0"/>
              <w:jc w:val="center"/>
              <w:rPr>
                <w:rFonts w:ascii="Times New Roman" w:hAnsi="Times New Roman" w:cs="Times New Roman"/>
                <w:bCs/>
                <w:sz w:val="20"/>
                <w:szCs w:val="20"/>
              </w:rPr>
            </w:pPr>
            <w:r w:rsidRPr="00EF32C4">
              <w:rPr>
                <w:rFonts w:ascii="Times New Roman" w:hAnsi="Times New Roman" w:cs="Times New Roman"/>
                <w:bCs/>
                <w:sz w:val="20"/>
                <w:szCs w:val="20"/>
              </w:rPr>
              <w:t>Accept</w:t>
            </w:r>
          </w:p>
        </w:tc>
      </w:tr>
      <w:tr w:rsidR="00C11B0D" w:rsidRPr="00EF32C4" w:rsidTr="00FE4F82">
        <w:trPr>
          <w:jc w:val="center"/>
        </w:trPr>
        <w:tc>
          <w:tcPr>
            <w:tcW w:w="5125" w:type="dxa"/>
            <w:vAlign w:val="bottom"/>
          </w:tcPr>
          <w:p w:rsidR="00C11B0D" w:rsidRPr="00EF32C4" w:rsidRDefault="00C11B0D" w:rsidP="00FE4F82">
            <w:pPr>
              <w:autoSpaceDE w:val="0"/>
              <w:autoSpaceDN w:val="0"/>
              <w:adjustRightInd w:val="0"/>
              <w:spacing w:after="0"/>
              <w:rPr>
                <w:rFonts w:ascii="Times New Roman" w:hAnsi="Times New Roman" w:cs="Times New Roman"/>
                <w:color w:val="000000"/>
                <w:sz w:val="20"/>
                <w:szCs w:val="20"/>
              </w:rPr>
            </w:pPr>
            <w:r w:rsidRPr="00EF32C4">
              <w:rPr>
                <w:rFonts w:ascii="Times New Roman" w:hAnsi="Times New Roman" w:cs="Times New Roman"/>
                <w:color w:val="000000"/>
                <w:sz w:val="20"/>
                <w:szCs w:val="20"/>
              </w:rPr>
              <w:lastRenderedPageBreak/>
              <w:t> TNOE does not Granger Cause INFR</w:t>
            </w:r>
          </w:p>
        </w:tc>
        <w:tc>
          <w:tcPr>
            <w:tcW w:w="2610" w:type="dxa"/>
            <w:vAlign w:val="bottom"/>
          </w:tcPr>
          <w:p w:rsidR="00C11B0D" w:rsidRPr="00EF32C4" w:rsidRDefault="00C11B0D" w:rsidP="00FE4F82">
            <w:pPr>
              <w:autoSpaceDE w:val="0"/>
              <w:autoSpaceDN w:val="0"/>
              <w:adjustRightInd w:val="0"/>
              <w:spacing w:after="0"/>
              <w:jc w:val="center"/>
              <w:rPr>
                <w:rFonts w:ascii="Times New Roman" w:hAnsi="Times New Roman" w:cs="Times New Roman"/>
                <w:color w:val="000000"/>
                <w:sz w:val="20"/>
                <w:szCs w:val="20"/>
              </w:rPr>
            </w:pPr>
            <w:r w:rsidRPr="00EF32C4">
              <w:rPr>
                <w:rFonts w:ascii="Times New Roman" w:hAnsi="Times New Roman" w:cs="Times New Roman"/>
                <w:color w:val="000000"/>
                <w:sz w:val="20"/>
                <w:szCs w:val="20"/>
              </w:rPr>
              <w:t>0.54918</w:t>
            </w:r>
          </w:p>
        </w:tc>
        <w:tc>
          <w:tcPr>
            <w:tcW w:w="1440" w:type="dxa"/>
            <w:vAlign w:val="bottom"/>
          </w:tcPr>
          <w:p w:rsidR="00C11B0D" w:rsidRPr="00EF32C4" w:rsidRDefault="00C11B0D" w:rsidP="00FE4F82">
            <w:pPr>
              <w:autoSpaceDE w:val="0"/>
              <w:autoSpaceDN w:val="0"/>
              <w:adjustRightInd w:val="0"/>
              <w:spacing w:after="0"/>
              <w:jc w:val="center"/>
              <w:rPr>
                <w:rFonts w:ascii="Times New Roman" w:hAnsi="Times New Roman" w:cs="Times New Roman"/>
                <w:color w:val="000000"/>
                <w:sz w:val="20"/>
                <w:szCs w:val="20"/>
              </w:rPr>
            </w:pPr>
            <w:r w:rsidRPr="00EF32C4">
              <w:rPr>
                <w:rFonts w:ascii="Times New Roman" w:hAnsi="Times New Roman" w:cs="Times New Roman"/>
                <w:color w:val="000000"/>
                <w:sz w:val="20"/>
                <w:szCs w:val="20"/>
              </w:rPr>
              <w:t>0.5825</w:t>
            </w:r>
          </w:p>
        </w:tc>
        <w:tc>
          <w:tcPr>
            <w:tcW w:w="1440" w:type="dxa"/>
            <w:vAlign w:val="bottom"/>
          </w:tcPr>
          <w:p w:rsidR="00C11B0D" w:rsidRPr="00EF32C4" w:rsidRDefault="00C11B0D" w:rsidP="00FE4F82">
            <w:pPr>
              <w:autoSpaceDE w:val="0"/>
              <w:autoSpaceDN w:val="0"/>
              <w:adjustRightInd w:val="0"/>
              <w:spacing w:after="0"/>
              <w:ind w:right="10"/>
              <w:jc w:val="center"/>
              <w:rPr>
                <w:rFonts w:ascii="Times New Roman" w:hAnsi="Times New Roman" w:cs="Times New Roman"/>
                <w:color w:val="000000"/>
                <w:sz w:val="20"/>
                <w:szCs w:val="20"/>
              </w:rPr>
            </w:pPr>
            <w:r w:rsidRPr="00EF32C4">
              <w:rPr>
                <w:rFonts w:ascii="Times New Roman" w:hAnsi="Times New Roman" w:cs="Times New Roman"/>
                <w:color w:val="000000"/>
                <w:sz w:val="20"/>
                <w:szCs w:val="20"/>
              </w:rPr>
              <w:t>Accept</w:t>
            </w:r>
          </w:p>
        </w:tc>
      </w:tr>
      <w:tr w:rsidR="00C11B0D" w:rsidRPr="00EF32C4" w:rsidTr="00FE4F82">
        <w:trPr>
          <w:jc w:val="center"/>
        </w:trPr>
        <w:tc>
          <w:tcPr>
            <w:tcW w:w="5125" w:type="dxa"/>
            <w:vAlign w:val="bottom"/>
          </w:tcPr>
          <w:p w:rsidR="00C11B0D" w:rsidRPr="00EF32C4" w:rsidRDefault="00C11B0D" w:rsidP="00FE4F82">
            <w:pPr>
              <w:autoSpaceDE w:val="0"/>
              <w:autoSpaceDN w:val="0"/>
              <w:adjustRightInd w:val="0"/>
              <w:spacing w:after="0"/>
              <w:rPr>
                <w:rFonts w:ascii="Times New Roman" w:hAnsi="Times New Roman" w:cs="Times New Roman"/>
                <w:color w:val="000000"/>
                <w:sz w:val="20"/>
                <w:szCs w:val="20"/>
              </w:rPr>
            </w:pPr>
            <w:r w:rsidRPr="00EF32C4">
              <w:rPr>
                <w:rFonts w:ascii="Times New Roman" w:hAnsi="Times New Roman" w:cs="Times New Roman"/>
                <w:color w:val="000000"/>
                <w:sz w:val="20"/>
                <w:szCs w:val="20"/>
              </w:rPr>
              <w:t> OPEN does not Granger Cause TNOE</w:t>
            </w:r>
          </w:p>
        </w:tc>
        <w:tc>
          <w:tcPr>
            <w:tcW w:w="2610" w:type="dxa"/>
            <w:vAlign w:val="bottom"/>
          </w:tcPr>
          <w:p w:rsidR="00C11B0D" w:rsidRPr="00EF32C4" w:rsidRDefault="00C11B0D" w:rsidP="00FE4F82">
            <w:pPr>
              <w:autoSpaceDE w:val="0"/>
              <w:autoSpaceDN w:val="0"/>
              <w:adjustRightInd w:val="0"/>
              <w:spacing w:after="0"/>
              <w:jc w:val="center"/>
              <w:rPr>
                <w:rFonts w:ascii="Times New Roman" w:hAnsi="Times New Roman" w:cs="Times New Roman"/>
                <w:color w:val="000000"/>
                <w:sz w:val="20"/>
                <w:szCs w:val="20"/>
              </w:rPr>
            </w:pPr>
            <w:r w:rsidRPr="00EF32C4">
              <w:rPr>
                <w:rFonts w:ascii="Times New Roman" w:hAnsi="Times New Roman" w:cs="Times New Roman"/>
                <w:color w:val="000000"/>
                <w:sz w:val="20"/>
                <w:szCs w:val="20"/>
              </w:rPr>
              <w:t>0.48916</w:t>
            </w:r>
          </w:p>
        </w:tc>
        <w:tc>
          <w:tcPr>
            <w:tcW w:w="1440" w:type="dxa"/>
            <w:vAlign w:val="bottom"/>
          </w:tcPr>
          <w:p w:rsidR="00C11B0D" w:rsidRPr="00EF32C4" w:rsidRDefault="00C11B0D" w:rsidP="00FE4F82">
            <w:pPr>
              <w:autoSpaceDE w:val="0"/>
              <w:autoSpaceDN w:val="0"/>
              <w:adjustRightInd w:val="0"/>
              <w:spacing w:after="0"/>
              <w:ind w:right="10"/>
              <w:jc w:val="center"/>
              <w:rPr>
                <w:rFonts w:ascii="Times New Roman" w:hAnsi="Times New Roman" w:cs="Times New Roman"/>
                <w:color w:val="000000"/>
                <w:sz w:val="20"/>
                <w:szCs w:val="20"/>
              </w:rPr>
            </w:pPr>
            <w:r w:rsidRPr="00EF32C4">
              <w:rPr>
                <w:rFonts w:ascii="Times New Roman" w:hAnsi="Times New Roman" w:cs="Times New Roman"/>
                <w:color w:val="000000"/>
                <w:sz w:val="20"/>
                <w:szCs w:val="20"/>
              </w:rPr>
              <w:t>0.6174</w:t>
            </w:r>
          </w:p>
        </w:tc>
        <w:tc>
          <w:tcPr>
            <w:tcW w:w="1440" w:type="dxa"/>
          </w:tcPr>
          <w:p w:rsidR="00C11B0D" w:rsidRPr="00EF32C4" w:rsidRDefault="00C11B0D" w:rsidP="00FE4F82">
            <w:pPr>
              <w:autoSpaceDE w:val="0"/>
              <w:autoSpaceDN w:val="0"/>
              <w:adjustRightInd w:val="0"/>
              <w:spacing w:after="0"/>
              <w:jc w:val="center"/>
              <w:rPr>
                <w:rFonts w:ascii="Times New Roman" w:hAnsi="Times New Roman" w:cs="Times New Roman"/>
                <w:bCs/>
                <w:sz w:val="20"/>
                <w:szCs w:val="20"/>
              </w:rPr>
            </w:pPr>
            <w:r w:rsidRPr="00EF32C4">
              <w:rPr>
                <w:rFonts w:ascii="Times New Roman" w:hAnsi="Times New Roman" w:cs="Times New Roman"/>
                <w:bCs/>
                <w:sz w:val="20"/>
                <w:szCs w:val="20"/>
              </w:rPr>
              <w:t>Accept</w:t>
            </w:r>
          </w:p>
        </w:tc>
      </w:tr>
      <w:tr w:rsidR="00C11B0D" w:rsidRPr="00EF32C4" w:rsidTr="00FE4F82">
        <w:trPr>
          <w:jc w:val="center"/>
        </w:trPr>
        <w:tc>
          <w:tcPr>
            <w:tcW w:w="5125" w:type="dxa"/>
          </w:tcPr>
          <w:p w:rsidR="00C11B0D" w:rsidRPr="00EF32C4" w:rsidRDefault="00C11B0D" w:rsidP="00FE4F82">
            <w:pPr>
              <w:autoSpaceDE w:val="0"/>
              <w:autoSpaceDN w:val="0"/>
              <w:adjustRightInd w:val="0"/>
              <w:spacing w:after="0"/>
              <w:rPr>
                <w:rFonts w:ascii="Times New Roman" w:hAnsi="Times New Roman" w:cs="Times New Roman"/>
                <w:b/>
                <w:bCs/>
                <w:sz w:val="20"/>
                <w:szCs w:val="20"/>
              </w:rPr>
            </w:pPr>
            <w:r w:rsidRPr="00EF32C4">
              <w:rPr>
                <w:rFonts w:ascii="Times New Roman" w:hAnsi="Times New Roman" w:cs="Times New Roman"/>
                <w:color w:val="000000"/>
                <w:sz w:val="20"/>
                <w:szCs w:val="20"/>
              </w:rPr>
              <w:t>TNOE does not Granger Cause OPEN</w:t>
            </w:r>
          </w:p>
        </w:tc>
        <w:tc>
          <w:tcPr>
            <w:tcW w:w="2610" w:type="dxa"/>
            <w:vAlign w:val="bottom"/>
          </w:tcPr>
          <w:p w:rsidR="00C11B0D" w:rsidRPr="00EF32C4" w:rsidRDefault="00C11B0D" w:rsidP="00FE4F82">
            <w:pPr>
              <w:autoSpaceDE w:val="0"/>
              <w:autoSpaceDN w:val="0"/>
              <w:adjustRightInd w:val="0"/>
              <w:spacing w:after="0"/>
              <w:jc w:val="center"/>
              <w:rPr>
                <w:rFonts w:ascii="Times New Roman" w:hAnsi="Times New Roman" w:cs="Times New Roman"/>
                <w:color w:val="000000"/>
                <w:sz w:val="20"/>
                <w:szCs w:val="20"/>
              </w:rPr>
            </w:pPr>
            <w:r w:rsidRPr="00EF32C4">
              <w:rPr>
                <w:rFonts w:ascii="Times New Roman" w:hAnsi="Times New Roman" w:cs="Times New Roman"/>
                <w:color w:val="000000"/>
                <w:sz w:val="20"/>
                <w:szCs w:val="20"/>
              </w:rPr>
              <w:t>0.63349</w:t>
            </w:r>
          </w:p>
        </w:tc>
        <w:tc>
          <w:tcPr>
            <w:tcW w:w="1440" w:type="dxa"/>
            <w:vAlign w:val="bottom"/>
          </w:tcPr>
          <w:p w:rsidR="00C11B0D" w:rsidRPr="00EF32C4" w:rsidRDefault="00C11B0D" w:rsidP="00FE4F82">
            <w:pPr>
              <w:autoSpaceDE w:val="0"/>
              <w:autoSpaceDN w:val="0"/>
              <w:adjustRightInd w:val="0"/>
              <w:spacing w:after="0"/>
              <w:ind w:right="10"/>
              <w:jc w:val="center"/>
              <w:rPr>
                <w:rFonts w:ascii="Times New Roman" w:hAnsi="Times New Roman" w:cs="Times New Roman"/>
                <w:color w:val="000000"/>
                <w:sz w:val="20"/>
                <w:szCs w:val="20"/>
              </w:rPr>
            </w:pPr>
            <w:r w:rsidRPr="00EF32C4">
              <w:rPr>
                <w:rFonts w:ascii="Times New Roman" w:hAnsi="Times New Roman" w:cs="Times New Roman"/>
                <w:color w:val="000000"/>
                <w:sz w:val="20"/>
                <w:szCs w:val="20"/>
              </w:rPr>
              <w:t>0.5369</w:t>
            </w:r>
          </w:p>
        </w:tc>
        <w:tc>
          <w:tcPr>
            <w:tcW w:w="1440" w:type="dxa"/>
          </w:tcPr>
          <w:p w:rsidR="00C11B0D" w:rsidRPr="00EF32C4" w:rsidRDefault="00C11B0D" w:rsidP="00FE4F82">
            <w:pPr>
              <w:autoSpaceDE w:val="0"/>
              <w:autoSpaceDN w:val="0"/>
              <w:adjustRightInd w:val="0"/>
              <w:spacing w:after="0"/>
              <w:jc w:val="center"/>
              <w:rPr>
                <w:rFonts w:ascii="Times New Roman" w:hAnsi="Times New Roman" w:cs="Times New Roman"/>
                <w:bCs/>
                <w:sz w:val="20"/>
                <w:szCs w:val="20"/>
              </w:rPr>
            </w:pPr>
            <w:r w:rsidRPr="00EF32C4">
              <w:rPr>
                <w:rFonts w:ascii="Times New Roman" w:hAnsi="Times New Roman" w:cs="Times New Roman"/>
                <w:bCs/>
                <w:sz w:val="20"/>
                <w:szCs w:val="20"/>
              </w:rPr>
              <w:t>Accept</w:t>
            </w:r>
          </w:p>
        </w:tc>
      </w:tr>
      <w:tr w:rsidR="00C11B0D" w:rsidRPr="00EF32C4" w:rsidTr="00FE4F82">
        <w:trPr>
          <w:jc w:val="center"/>
        </w:trPr>
        <w:tc>
          <w:tcPr>
            <w:tcW w:w="5125" w:type="dxa"/>
            <w:vAlign w:val="bottom"/>
          </w:tcPr>
          <w:p w:rsidR="00C11B0D" w:rsidRPr="00EF32C4" w:rsidRDefault="00C11B0D" w:rsidP="00FE4F82">
            <w:pPr>
              <w:autoSpaceDE w:val="0"/>
              <w:autoSpaceDN w:val="0"/>
              <w:adjustRightInd w:val="0"/>
              <w:spacing w:after="0"/>
              <w:rPr>
                <w:rFonts w:ascii="Times New Roman" w:hAnsi="Times New Roman" w:cs="Times New Roman"/>
                <w:color w:val="000000"/>
                <w:sz w:val="20"/>
                <w:szCs w:val="20"/>
              </w:rPr>
            </w:pPr>
            <w:r w:rsidRPr="00EF32C4">
              <w:rPr>
                <w:rFonts w:ascii="Times New Roman" w:hAnsi="Times New Roman" w:cs="Times New Roman"/>
                <w:color w:val="000000"/>
                <w:sz w:val="20"/>
                <w:szCs w:val="20"/>
              </w:rPr>
              <w:t> RGDP does not Granger Cause TNOE</w:t>
            </w:r>
          </w:p>
        </w:tc>
        <w:tc>
          <w:tcPr>
            <w:tcW w:w="2610" w:type="dxa"/>
            <w:vAlign w:val="bottom"/>
          </w:tcPr>
          <w:p w:rsidR="00C11B0D" w:rsidRPr="00EF32C4" w:rsidRDefault="00C11B0D" w:rsidP="00FE4F82">
            <w:pPr>
              <w:autoSpaceDE w:val="0"/>
              <w:autoSpaceDN w:val="0"/>
              <w:adjustRightInd w:val="0"/>
              <w:spacing w:after="0"/>
              <w:jc w:val="center"/>
              <w:rPr>
                <w:rFonts w:ascii="Times New Roman" w:hAnsi="Times New Roman" w:cs="Times New Roman"/>
                <w:color w:val="000000"/>
                <w:sz w:val="20"/>
                <w:szCs w:val="20"/>
              </w:rPr>
            </w:pPr>
            <w:r w:rsidRPr="00EF32C4">
              <w:rPr>
                <w:rFonts w:ascii="Times New Roman" w:hAnsi="Times New Roman" w:cs="Times New Roman"/>
                <w:color w:val="000000"/>
                <w:sz w:val="20"/>
                <w:szCs w:val="20"/>
              </w:rPr>
              <w:t>4.21907</w:t>
            </w:r>
          </w:p>
        </w:tc>
        <w:tc>
          <w:tcPr>
            <w:tcW w:w="1440" w:type="dxa"/>
            <w:vAlign w:val="bottom"/>
          </w:tcPr>
          <w:p w:rsidR="00C11B0D" w:rsidRPr="00EF32C4" w:rsidRDefault="00C11B0D" w:rsidP="00FE4F82">
            <w:pPr>
              <w:autoSpaceDE w:val="0"/>
              <w:autoSpaceDN w:val="0"/>
              <w:adjustRightInd w:val="0"/>
              <w:spacing w:after="0"/>
              <w:ind w:right="10"/>
              <w:jc w:val="center"/>
              <w:rPr>
                <w:rFonts w:ascii="Times New Roman" w:hAnsi="Times New Roman" w:cs="Times New Roman"/>
                <w:color w:val="000000"/>
                <w:sz w:val="20"/>
                <w:szCs w:val="20"/>
              </w:rPr>
            </w:pPr>
            <w:r w:rsidRPr="00EF32C4">
              <w:rPr>
                <w:rFonts w:ascii="Times New Roman" w:hAnsi="Times New Roman" w:cs="Times New Roman"/>
                <w:color w:val="000000"/>
                <w:sz w:val="20"/>
                <w:szCs w:val="20"/>
              </w:rPr>
              <w:t>0.0231</w:t>
            </w:r>
          </w:p>
        </w:tc>
        <w:tc>
          <w:tcPr>
            <w:tcW w:w="1440" w:type="dxa"/>
            <w:vAlign w:val="bottom"/>
          </w:tcPr>
          <w:p w:rsidR="00C11B0D" w:rsidRPr="00EF32C4" w:rsidRDefault="00C11B0D" w:rsidP="00FE4F82">
            <w:pPr>
              <w:autoSpaceDE w:val="0"/>
              <w:autoSpaceDN w:val="0"/>
              <w:adjustRightInd w:val="0"/>
              <w:spacing w:after="0"/>
              <w:ind w:right="10"/>
              <w:jc w:val="center"/>
              <w:rPr>
                <w:rFonts w:ascii="Times New Roman" w:hAnsi="Times New Roman" w:cs="Times New Roman"/>
                <w:color w:val="000000"/>
                <w:sz w:val="20"/>
                <w:szCs w:val="20"/>
              </w:rPr>
            </w:pPr>
            <w:r w:rsidRPr="00EF32C4">
              <w:rPr>
                <w:rFonts w:ascii="Times New Roman" w:hAnsi="Times New Roman" w:cs="Times New Roman"/>
                <w:color w:val="000000"/>
                <w:sz w:val="20"/>
                <w:szCs w:val="20"/>
              </w:rPr>
              <w:t>Reject</w:t>
            </w:r>
          </w:p>
        </w:tc>
      </w:tr>
      <w:tr w:rsidR="00C11B0D" w:rsidRPr="00EF32C4" w:rsidTr="00FE4F82">
        <w:trPr>
          <w:jc w:val="center"/>
        </w:trPr>
        <w:tc>
          <w:tcPr>
            <w:tcW w:w="5125" w:type="dxa"/>
            <w:vAlign w:val="bottom"/>
          </w:tcPr>
          <w:p w:rsidR="00C11B0D" w:rsidRPr="00EF32C4" w:rsidRDefault="00C11B0D" w:rsidP="00FE4F82">
            <w:pPr>
              <w:autoSpaceDE w:val="0"/>
              <w:autoSpaceDN w:val="0"/>
              <w:adjustRightInd w:val="0"/>
              <w:spacing w:after="0"/>
              <w:rPr>
                <w:rFonts w:ascii="Times New Roman" w:hAnsi="Times New Roman" w:cs="Times New Roman"/>
                <w:color w:val="000000"/>
                <w:sz w:val="20"/>
                <w:szCs w:val="20"/>
              </w:rPr>
            </w:pPr>
            <w:r w:rsidRPr="00EF32C4">
              <w:rPr>
                <w:rFonts w:ascii="Times New Roman" w:hAnsi="Times New Roman" w:cs="Times New Roman"/>
                <w:color w:val="000000"/>
                <w:sz w:val="20"/>
                <w:szCs w:val="20"/>
              </w:rPr>
              <w:t> TNOE does not Granger Cause RGDP</w:t>
            </w:r>
          </w:p>
        </w:tc>
        <w:tc>
          <w:tcPr>
            <w:tcW w:w="2610" w:type="dxa"/>
            <w:vAlign w:val="bottom"/>
          </w:tcPr>
          <w:p w:rsidR="00C11B0D" w:rsidRPr="00EF32C4" w:rsidRDefault="00C11B0D" w:rsidP="00FE4F82">
            <w:pPr>
              <w:autoSpaceDE w:val="0"/>
              <w:autoSpaceDN w:val="0"/>
              <w:adjustRightInd w:val="0"/>
              <w:spacing w:after="0"/>
              <w:jc w:val="center"/>
              <w:rPr>
                <w:rFonts w:ascii="Times New Roman" w:hAnsi="Times New Roman" w:cs="Times New Roman"/>
                <w:color w:val="000000"/>
                <w:sz w:val="20"/>
                <w:szCs w:val="20"/>
              </w:rPr>
            </w:pPr>
            <w:r w:rsidRPr="00EF32C4">
              <w:rPr>
                <w:rFonts w:ascii="Times New Roman" w:hAnsi="Times New Roman" w:cs="Times New Roman"/>
                <w:color w:val="000000"/>
                <w:sz w:val="20"/>
                <w:szCs w:val="20"/>
              </w:rPr>
              <w:t>3.33829</w:t>
            </w:r>
          </w:p>
        </w:tc>
        <w:tc>
          <w:tcPr>
            <w:tcW w:w="1440" w:type="dxa"/>
            <w:vAlign w:val="bottom"/>
          </w:tcPr>
          <w:p w:rsidR="00C11B0D" w:rsidRPr="00EF32C4" w:rsidRDefault="00C11B0D" w:rsidP="00FE4F82">
            <w:pPr>
              <w:autoSpaceDE w:val="0"/>
              <w:autoSpaceDN w:val="0"/>
              <w:adjustRightInd w:val="0"/>
              <w:spacing w:after="0"/>
              <w:ind w:right="10"/>
              <w:jc w:val="center"/>
              <w:rPr>
                <w:rFonts w:ascii="Times New Roman" w:hAnsi="Times New Roman" w:cs="Times New Roman"/>
                <w:color w:val="000000"/>
                <w:sz w:val="20"/>
                <w:szCs w:val="20"/>
              </w:rPr>
            </w:pPr>
            <w:r w:rsidRPr="00EF32C4">
              <w:rPr>
                <w:rFonts w:ascii="Times New Roman" w:hAnsi="Times New Roman" w:cs="Times New Roman"/>
                <w:color w:val="000000"/>
                <w:sz w:val="20"/>
                <w:szCs w:val="20"/>
              </w:rPr>
              <w:t>0.0475</w:t>
            </w:r>
          </w:p>
        </w:tc>
        <w:tc>
          <w:tcPr>
            <w:tcW w:w="1440" w:type="dxa"/>
          </w:tcPr>
          <w:p w:rsidR="00C11B0D" w:rsidRPr="00EF32C4" w:rsidRDefault="00C11B0D" w:rsidP="00FE4F82">
            <w:pPr>
              <w:autoSpaceDE w:val="0"/>
              <w:autoSpaceDN w:val="0"/>
              <w:adjustRightInd w:val="0"/>
              <w:spacing w:after="0"/>
              <w:jc w:val="center"/>
              <w:rPr>
                <w:rFonts w:ascii="Times New Roman" w:hAnsi="Times New Roman" w:cs="Times New Roman"/>
                <w:bCs/>
                <w:sz w:val="20"/>
                <w:szCs w:val="20"/>
              </w:rPr>
            </w:pPr>
            <w:r w:rsidRPr="00EF32C4">
              <w:rPr>
                <w:rFonts w:ascii="Times New Roman" w:hAnsi="Times New Roman" w:cs="Times New Roman"/>
                <w:bCs/>
                <w:sz w:val="20"/>
                <w:szCs w:val="20"/>
              </w:rPr>
              <w:t>Reject</w:t>
            </w:r>
          </w:p>
        </w:tc>
      </w:tr>
    </w:tbl>
    <w:p w:rsidR="00C11B0D" w:rsidRPr="00677C65" w:rsidRDefault="00C11B0D" w:rsidP="00C11B0D">
      <w:pPr>
        <w:autoSpaceDE w:val="0"/>
        <w:autoSpaceDN w:val="0"/>
        <w:adjustRightInd w:val="0"/>
        <w:spacing w:after="0" w:line="240" w:lineRule="auto"/>
        <w:rPr>
          <w:rFonts w:ascii="Times New Roman" w:hAnsi="Times New Roman" w:cs="Times New Roman"/>
          <w:b/>
          <w:bCs/>
          <w:sz w:val="24"/>
          <w:szCs w:val="24"/>
        </w:rPr>
      </w:pPr>
      <w:r w:rsidRPr="00677C65">
        <w:rPr>
          <w:rFonts w:ascii="Times New Roman" w:hAnsi="Times New Roman" w:cs="Times New Roman"/>
          <w:i/>
          <w:iCs/>
          <w:sz w:val="24"/>
          <w:szCs w:val="24"/>
        </w:rPr>
        <w:t xml:space="preserve">Source: </w:t>
      </w:r>
      <w:r w:rsidRPr="00DB1D04">
        <w:rPr>
          <w:rFonts w:ascii="Times New Roman" w:hAnsi="Times New Roman" w:cs="Times New Roman"/>
          <w:iCs/>
          <w:sz w:val="24"/>
          <w:szCs w:val="24"/>
        </w:rPr>
        <w:t>Author’s computation</w:t>
      </w:r>
    </w:p>
    <w:p w:rsidR="00C11B0D" w:rsidRDefault="00C11B0D" w:rsidP="00C11B0D">
      <w:pPr>
        <w:autoSpaceDE w:val="0"/>
        <w:autoSpaceDN w:val="0"/>
        <w:adjustRightInd w:val="0"/>
        <w:spacing w:after="0" w:line="240" w:lineRule="auto"/>
        <w:rPr>
          <w:rFonts w:ascii="Arial" w:hAnsi="Arial" w:cs="Arial"/>
          <w:sz w:val="18"/>
          <w:szCs w:val="18"/>
        </w:rPr>
      </w:pPr>
    </w:p>
    <w:p w:rsidR="00F84A45" w:rsidRPr="003F372A" w:rsidRDefault="003D14A5" w:rsidP="00F84A45">
      <w:pPr>
        <w:pStyle w:val="H1"/>
        <w:jc w:val="left"/>
        <w:rPr>
          <w:sz w:val="24"/>
          <w:szCs w:val="24"/>
        </w:rPr>
      </w:pPr>
      <w:bookmarkStart w:id="52" w:name="_Toc25775688"/>
      <w:bookmarkStart w:id="53" w:name="_Toc71033695"/>
      <w:bookmarkStart w:id="54" w:name="_Toc97822150"/>
      <w:bookmarkStart w:id="55" w:name="_Toc115647130"/>
      <w:r w:rsidRPr="003F372A">
        <w:rPr>
          <w:sz w:val="24"/>
          <w:szCs w:val="24"/>
        </w:rPr>
        <w:t>5.0</w:t>
      </w:r>
      <w:r w:rsidRPr="003F372A">
        <w:rPr>
          <w:sz w:val="24"/>
          <w:szCs w:val="24"/>
        </w:rPr>
        <w:tab/>
      </w:r>
      <w:r w:rsidR="00F84A45" w:rsidRPr="003F372A">
        <w:rPr>
          <w:sz w:val="24"/>
          <w:szCs w:val="24"/>
        </w:rPr>
        <w:t>Conclusion and Policy Recommendations</w:t>
      </w:r>
      <w:bookmarkEnd w:id="52"/>
      <w:bookmarkEnd w:id="53"/>
      <w:bookmarkEnd w:id="54"/>
      <w:bookmarkEnd w:id="55"/>
    </w:p>
    <w:p w:rsidR="00530EFA" w:rsidRDefault="00530EFA" w:rsidP="00530EFA">
      <w:pPr>
        <w:tabs>
          <w:tab w:val="left" w:pos="1365"/>
        </w:tabs>
        <w:jc w:val="both"/>
        <w:rPr>
          <w:rFonts w:ascii="Times New Roman" w:hAnsi="Times New Roman" w:cs="Times New Roman"/>
          <w:sz w:val="24"/>
          <w:szCs w:val="24"/>
          <w:lang w:val="en-US"/>
        </w:rPr>
      </w:pPr>
      <w:r w:rsidRPr="003F372A">
        <w:rPr>
          <w:rFonts w:ascii="Times New Roman" w:hAnsi="Times New Roman" w:cs="Times New Roman"/>
          <w:sz w:val="24"/>
          <w:szCs w:val="24"/>
        </w:rPr>
        <w:t xml:space="preserve">It is evident from the analysis that increase bank export credit, improvement in the degree of trade openness, improvement in GDP measured by the size of the economy and reduction in monetary policy rate have significant impact on the performance of non-oil export sector. Based on the findings of this study, the policy recommendations derived from this study are as follows: Nigerian government should intensify its efforts to increase bank export credit. This could be done through its relevant agencies such as the CBN, commercial banks, NEXIM, and SMEDAN to provide adequate finance, increase credit allocation, and implement policies aimed at promoting financial services accessibility to ensure efficient distribution of credit to non-oil export sector. The efforts should be accompanied with other complementary strategies that could enhance the growth of non-oil export sector, in particular, both in the short and long-runs. One major findings of the study is that trade liberalization increases trade gains while trade restrictions reduce such gains. Thus, it is therefore important that the Nigerian government, through the Federal Ministry of Industry, Trade and Investment (FMITI), implement policies that eliminate trade barriers while promoting policies that lead to the country's exceptional advancement. It is important to understand that the rate at which the CBN rediscounts to commercial banks and other financial intermediaries determine the lending rate these institutions can give loan to beneficiaries in the non-oil export sector. There is therefore a need for </w:t>
      </w:r>
      <w:r w:rsidRPr="003F372A">
        <w:rPr>
          <w:rFonts w:ascii="Times New Roman" w:hAnsi="Times New Roman" w:cs="Times New Roman"/>
          <w:sz w:val="24"/>
          <w:szCs w:val="24"/>
          <w:lang w:val="en-US"/>
        </w:rPr>
        <w:t>the monetary authority to reduce the MPR from its current rate of 11.5% to a range below 5%. This will help reducing commercial banks transaction and other administrative charges and thus reducing the interest rate on credit available to non-oil export sector.</w:t>
      </w:r>
    </w:p>
    <w:p w:rsidR="00E62393" w:rsidRPr="0066347F" w:rsidRDefault="00E62393" w:rsidP="00E62393">
      <w:pPr>
        <w:spacing w:before="240"/>
        <w:jc w:val="both"/>
        <w:rPr>
          <w:rFonts w:ascii="Times New Roman" w:hAnsi="Times New Roman" w:cs="Times New Roman"/>
          <w:b/>
          <w:sz w:val="24"/>
          <w:szCs w:val="24"/>
        </w:rPr>
      </w:pPr>
      <w:r w:rsidRPr="0066347F">
        <w:rPr>
          <w:rFonts w:ascii="Times New Roman" w:hAnsi="Times New Roman" w:cs="Times New Roman"/>
          <w:b/>
          <w:sz w:val="24"/>
          <w:szCs w:val="24"/>
        </w:rPr>
        <w:t xml:space="preserve">Funding </w:t>
      </w:r>
    </w:p>
    <w:p w:rsidR="00E62393" w:rsidRDefault="00E62393" w:rsidP="00E62393">
      <w:pPr>
        <w:spacing w:before="240"/>
        <w:jc w:val="both"/>
        <w:rPr>
          <w:rFonts w:ascii="Times New Roman" w:hAnsi="Times New Roman" w:cs="Times New Roman"/>
          <w:sz w:val="24"/>
          <w:szCs w:val="24"/>
        </w:rPr>
      </w:pPr>
      <w:r>
        <w:rPr>
          <w:rFonts w:ascii="Times New Roman" w:hAnsi="Times New Roman" w:cs="Times New Roman"/>
          <w:sz w:val="24"/>
          <w:szCs w:val="24"/>
        </w:rPr>
        <w:t>The author</w:t>
      </w:r>
      <w:r w:rsidRPr="0066347F">
        <w:rPr>
          <w:rFonts w:ascii="Times New Roman" w:hAnsi="Times New Roman" w:cs="Times New Roman"/>
          <w:sz w:val="24"/>
          <w:szCs w:val="24"/>
        </w:rPr>
        <w:t xml:space="preserve"> received no f</w:t>
      </w:r>
      <w:r>
        <w:rPr>
          <w:rFonts w:ascii="Times New Roman" w:hAnsi="Times New Roman" w:cs="Times New Roman"/>
          <w:sz w:val="24"/>
          <w:szCs w:val="24"/>
        </w:rPr>
        <w:t>i</w:t>
      </w:r>
      <w:r w:rsidRPr="0066347F">
        <w:rPr>
          <w:rFonts w:ascii="Times New Roman" w:hAnsi="Times New Roman" w:cs="Times New Roman"/>
          <w:sz w:val="24"/>
          <w:szCs w:val="24"/>
        </w:rPr>
        <w:t xml:space="preserve">nancial support for the research, authorship, and/or publication of this article. </w:t>
      </w:r>
    </w:p>
    <w:p w:rsidR="00E62393" w:rsidRPr="0066347F" w:rsidRDefault="00E62393" w:rsidP="00E62393">
      <w:pPr>
        <w:spacing w:before="240"/>
        <w:jc w:val="both"/>
        <w:rPr>
          <w:rFonts w:ascii="Times New Roman" w:hAnsi="Times New Roman" w:cs="Times New Roman"/>
          <w:b/>
          <w:sz w:val="24"/>
          <w:szCs w:val="24"/>
        </w:rPr>
      </w:pPr>
      <w:r w:rsidRPr="0066347F">
        <w:rPr>
          <w:rFonts w:ascii="Times New Roman" w:hAnsi="Times New Roman" w:cs="Times New Roman"/>
          <w:b/>
          <w:sz w:val="24"/>
          <w:szCs w:val="24"/>
        </w:rPr>
        <w:t xml:space="preserve">Availability of Data and Materials </w:t>
      </w:r>
    </w:p>
    <w:p w:rsidR="00E62393" w:rsidRDefault="00E62393" w:rsidP="00E62393">
      <w:pPr>
        <w:spacing w:before="240"/>
        <w:jc w:val="both"/>
        <w:rPr>
          <w:rFonts w:ascii="Times New Roman" w:hAnsi="Times New Roman" w:cs="Times New Roman"/>
          <w:sz w:val="24"/>
          <w:szCs w:val="24"/>
        </w:rPr>
      </w:pPr>
      <w:r w:rsidRPr="0066347F">
        <w:rPr>
          <w:rFonts w:ascii="Times New Roman" w:hAnsi="Times New Roman" w:cs="Times New Roman"/>
          <w:sz w:val="24"/>
          <w:szCs w:val="24"/>
        </w:rPr>
        <w:t>The data and materials that support the f</w:t>
      </w:r>
      <w:r>
        <w:rPr>
          <w:rFonts w:ascii="Times New Roman" w:hAnsi="Times New Roman" w:cs="Times New Roman"/>
          <w:sz w:val="24"/>
          <w:szCs w:val="24"/>
        </w:rPr>
        <w:t>i</w:t>
      </w:r>
      <w:r w:rsidRPr="0066347F">
        <w:rPr>
          <w:rFonts w:ascii="Times New Roman" w:hAnsi="Times New Roman" w:cs="Times New Roman"/>
          <w:sz w:val="24"/>
          <w:szCs w:val="24"/>
        </w:rPr>
        <w:t xml:space="preserve">ndings of this study are available from the corresponding author upon request. </w:t>
      </w:r>
    </w:p>
    <w:p w:rsidR="00E62393" w:rsidRPr="0066347F" w:rsidRDefault="00E62393" w:rsidP="00E62393">
      <w:pPr>
        <w:spacing w:before="240"/>
        <w:jc w:val="both"/>
        <w:rPr>
          <w:rFonts w:ascii="Times New Roman" w:hAnsi="Times New Roman" w:cs="Times New Roman"/>
          <w:b/>
          <w:sz w:val="24"/>
          <w:szCs w:val="24"/>
        </w:rPr>
      </w:pPr>
      <w:r w:rsidRPr="0066347F">
        <w:rPr>
          <w:rFonts w:ascii="Times New Roman" w:hAnsi="Times New Roman" w:cs="Times New Roman"/>
          <w:b/>
          <w:sz w:val="24"/>
          <w:szCs w:val="24"/>
        </w:rPr>
        <w:t>Conf</w:t>
      </w:r>
      <w:r>
        <w:rPr>
          <w:rFonts w:ascii="Times New Roman" w:hAnsi="Times New Roman" w:cs="Times New Roman"/>
          <w:b/>
          <w:sz w:val="24"/>
          <w:szCs w:val="24"/>
        </w:rPr>
        <w:t>l</w:t>
      </w:r>
      <w:r w:rsidRPr="0066347F">
        <w:rPr>
          <w:rFonts w:ascii="Times New Roman" w:hAnsi="Times New Roman" w:cs="Times New Roman"/>
          <w:b/>
          <w:sz w:val="24"/>
          <w:szCs w:val="24"/>
        </w:rPr>
        <w:t xml:space="preserve">ict of Interest </w:t>
      </w:r>
    </w:p>
    <w:p w:rsidR="00E62393" w:rsidRPr="0066347F" w:rsidRDefault="00E62393" w:rsidP="00E62393">
      <w:pPr>
        <w:spacing w:before="240"/>
        <w:jc w:val="both"/>
        <w:rPr>
          <w:rFonts w:ascii="Times New Roman" w:hAnsi="Times New Roman" w:cs="Times New Roman"/>
          <w:b/>
          <w:sz w:val="24"/>
          <w:szCs w:val="24"/>
        </w:rPr>
      </w:pPr>
      <w:r>
        <w:rPr>
          <w:rFonts w:ascii="Times New Roman" w:hAnsi="Times New Roman" w:cs="Times New Roman"/>
          <w:sz w:val="24"/>
          <w:szCs w:val="24"/>
        </w:rPr>
        <w:t xml:space="preserve">The author declares that there is no </w:t>
      </w:r>
      <w:r w:rsidRPr="0066347F">
        <w:rPr>
          <w:rFonts w:ascii="Times New Roman" w:hAnsi="Times New Roman" w:cs="Times New Roman"/>
          <w:sz w:val="24"/>
          <w:szCs w:val="24"/>
        </w:rPr>
        <w:t>conf</w:t>
      </w:r>
      <w:r>
        <w:rPr>
          <w:rFonts w:ascii="Times New Roman" w:hAnsi="Times New Roman" w:cs="Times New Roman"/>
          <w:sz w:val="24"/>
          <w:szCs w:val="24"/>
        </w:rPr>
        <w:t>l</w:t>
      </w:r>
      <w:r w:rsidRPr="0066347F">
        <w:rPr>
          <w:rFonts w:ascii="Times New Roman" w:hAnsi="Times New Roman" w:cs="Times New Roman"/>
          <w:sz w:val="24"/>
          <w:szCs w:val="24"/>
        </w:rPr>
        <w:t>ict of interest</w:t>
      </w:r>
    </w:p>
    <w:p w:rsidR="00131684" w:rsidRDefault="00A472AD" w:rsidP="00054300">
      <w:pPr>
        <w:spacing w:before="240"/>
        <w:rPr>
          <w:rFonts w:ascii="Times New Roman" w:hAnsi="Times New Roman" w:cs="Times New Roman"/>
          <w:b/>
          <w:sz w:val="24"/>
          <w:szCs w:val="24"/>
        </w:rPr>
      </w:pPr>
      <w:r w:rsidRPr="00A472AD">
        <w:rPr>
          <w:rFonts w:ascii="Times New Roman" w:hAnsi="Times New Roman" w:cs="Times New Roman"/>
          <w:b/>
          <w:sz w:val="24"/>
          <w:szCs w:val="24"/>
        </w:rPr>
        <w:lastRenderedPageBreak/>
        <w:t xml:space="preserve">References </w:t>
      </w:r>
    </w:p>
    <w:p w:rsidR="00A472AD" w:rsidRPr="008B399F" w:rsidRDefault="00A472AD" w:rsidP="00054300">
      <w:pPr>
        <w:pStyle w:val="Default"/>
        <w:spacing w:before="240"/>
        <w:jc w:val="both"/>
        <w:rPr>
          <w:rFonts w:ascii="Times New Roman" w:hAnsi="Times New Roman" w:cs="Times New Roman"/>
          <w:color w:val="222222"/>
          <w:shd w:val="clear" w:color="auto" w:fill="FFFFFF"/>
        </w:rPr>
      </w:pPr>
      <w:proofErr w:type="spellStart"/>
      <w:r w:rsidRPr="008B399F">
        <w:rPr>
          <w:rFonts w:ascii="Times New Roman" w:hAnsi="Times New Roman" w:cs="Times New Roman"/>
          <w:color w:val="222222"/>
          <w:shd w:val="clear" w:color="auto" w:fill="FFFFFF"/>
        </w:rPr>
        <w:t>Akoto</w:t>
      </w:r>
      <w:proofErr w:type="spellEnd"/>
      <w:r w:rsidRPr="008B399F">
        <w:rPr>
          <w:rFonts w:ascii="Times New Roman" w:hAnsi="Times New Roman" w:cs="Times New Roman"/>
          <w:color w:val="222222"/>
          <w:shd w:val="clear" w:color="auto" w:fill="FFFFFF"/>
        </w:rPr>
        <w:t xml:space="preserve">, R. K., &amp; </w:t>
      </w:r>
      <w:proofErr w:type="spellStart"/>
      <w:r w:rsidRPr="008B399F">
        <w:rPr>
          <w:rFonts w:ascii="Times New Roman" w:hAnsi="Times New Roman" w:cs="Times New Roman"/>
          <w:color w:val="222222"/>
          <w:shd w:val="clear" w:color="auto" w:fill="FFFFFF"/>
        </w:rPr>
        <w:t>Adjasi</w:t>
      </w:r>
      <w:proofErr w:type="spellEnd"/>
      <w:r w:rsidRPr="008B399F">
        <w:rPr>
          <w:rFonts w:ascii="Times New Roman" w:hAnsi="Times New Roman" w:cs="Times New Roman"/>
          <w:color w:val="222222"/>
          <w:shd w:val="clear" w:color="auto" w:fill="FFFFFF"/>
        </w:rPr>
        <w:t xml:space="preserve">, C. (2020). External credit and export decision: Evidence from </w:t>
      </w:r>
      <w:r w:rsidRPr="008B399F">
        <w:rPr>
          <w:rFonts w:ascii="Times New Roman" w:hAnsi="Times New Roman" w:cs="Times New Roman"/>
          <w:color w:val="222222"/>
          <w:shd w:val="clear" w:color="auto" w:fill="FFFFFF"/>
        </w:rPr>
        <w:tab/>
        <w:t>Nigeria. </w:t>
      </w:r>
      <w:r w:rsidRPr="008B399F">
        <w:rPr>
          <w:rFonts w:ascii="Times New Roman" w:hAnsi="Times New Roman" w:cs="Times New Roman"/>
          <w:i/>
          <w:iCs/>
          <w:color w:val="222222"/>
          <w:shd w:val="clear" w:color="auto" w:fill="FFFFFF"/>
        </w:rPr>
        <w:t>African Development Review</w:t>
      </w:r>
      <w:r w:rsidRPr="008B399F">
        <w:rPr>
          <w:rFonts w:ascii="Times New Roman" w:hAnsi="Times New Roman" w:cs="Times New Roman"/>
          <w:color w:val="222222"/>
          <w:shd w:val="clear" w:color="auto" w:fill="FFFFFF"/>
        </w:rPr>
        <w:t>, </w:t>
      </w:r>
      <w:r w:rsidRPr="008B399F">
        <w:rPr>
          <w:rFonts w:ascii="Times New Roman" w:hAnsi="Times New Roman" w:cs="Times New Roman"/>
          <w:i/>
          <w:iCs/>
          <w:color w:val="222222"/>
          <w:shd w:val="clear" w:color="auto" w:fill="FFFFFF"/>
        </w:rPr>
        <w:t>32</w:t>
      </w:r>
      <w:r w:rsidRPr="008B399F">
        <w:rPr>
          <w:rFonts w:ascii="Times New Roman" w:hAnsi="Times New Roman" w:cs="Times New Roman"/>
          <w:color w:val="222222"/>
          <w:shd w:val="clear" w:color="auto" w:fill="FFFFFF"/>
        </w:rPr>
        <w:t>(4), 540-550.</w:t>
      </w:r>
    </w:p>
    <w:p w:rsidR="00A472AD" w:rsidRPr="008B399F" w:rsidRDefault="00A472AD" w:rsidP="00054300">
      <w:pPr>
        <w:pStyle w:val="Default"/>
        <w:jc w:val="both"/>
        <w:rPr>
          <w:rFonts w:ascii="Times New Roman" w:hAnsi="Times New Roman" w:cs="Times New Roman"/>
          <w:bCs/>
        </w:rPr>
      </w:pPr>
      <w:proofErr w:type="spellStart"/>
      <w:r w:rsidRPr="008B399F">
        <w:rPr>
          <w:rFonts w:ascii="Times New Roman" w:hAnsi="Times New Roman" w:cs="Times New Roman"/>
          <w:color w:val="222222"/>
          <w:shd w:val="clear" w:color="auto" w:fill="FFFFFF"/>
        </w:rPr>
        <w:t>Akoto</w:t>
      </w:r>
      <w:proofErr w:type="spellEnd"/>
      <w:r w:rsidRPr="008B399F">
        <w:rPr>
          <w:rFonts w:ascii="Times New Roman" w:hAnsi="Times New Roman" w:cs="Times New Roman"/>
          <w:color w:val="222222"/>
          <w:shd w:val="clear" w:color="auto" w:fill="FFFFFF"/>
        </w:rPr>
        <w:t xml:space="preserve">, R. K., &amp; </w:t>
      </w:r>
      <w:proofErr w:type="spellStart"/>
      <w:r w:rsidRPr="008B399F">
        <w:rPr>
          <w:rFonts w:ascii="Times New Roman" w:hAnsi="Times New Roman" w:cs="Times New Roman"/>
          <w:color w:val="222222"/>
          <w:shd w:val="clear" w:color="auto" w:fill="FFFFFF"/>
        </w:rPr>
        <w:t>Adjasi</w:t>
      </w:r>
      <w:proofErr w:type="spellEnd"/>
      <w:r w:rsidRPr="008B399F">
        <w:rPr>
          <w:rFonts w:ascii="Times New Roman" w:hAnsi="Times New Roman" w:cs="Times New Roman"/>
          <w:color w:val="222222"/>
          <w:shd w:val="clear" w:color="auto" w:fill="FFFFFF"/>
        </w:rPr>
        <w:t xml:space="preserve">, C. (2021). The effect of external credit on firms’ exports size in </w:t>
      </w:r>
      <w:r w:rsidRPr="008B399F">
        <w:rPr>
          <w:rFonts w:ascii="Times New Roman" w:hAnsi="Times New Roman" w:cs="Times New Roman"/>
          <w:color w:val="222222"/>
          <w:shd w:val="clear" w:color="auto" w:fill="FFFFFF"/>
        </w:rPr>
        <w:tab/>
        <w:t>Nigeria. </w:t>
      </w:r>
      <w:r w:rsidRPr="008B399F">
        <w:rPr>
          <w:rFonts w:ascii="Times New Roman" w:hAnsi="Times New Roman" w:cs="Times New Roman"/>
          <w:i/>
          <w:iCs/>
          <w:color w:val="222222"/>
          <w:shd w:val="clear" w:color="auto" w:fill="FFFFFF"/>
        </w:rPr>
        <w:t>Cogent Business &amp; Management</w:t>
      </w:r>
      <w:r w:rsidRPr="008B399F">
        <w:rPr>
          <w:rFonts w:ascii="Times New Roman" w:hAnsi="Times New Roman" w:cs="Times New Roman"/>
          <w:color w:val="222222"/>
          <w:shd w:val="clear" w:color="auto" w:fill="FFFFFF"/>
        </w:rPr>
        <w:t>, </w:t>
      </w:r>
      <w:r w:rsidRPr="008B399F">
        <w:rPr>
          <w:rFonts w:ascii="Times New Roman" w:hAnsi="Times New Roman" w:cs="Times New Roman"/>
          <w:i/>
          <w:iCs/>
          <w:color w:val="222222"/>
          <w:shd w:val="clear" w:color="auto" w:fill="FFFFFF"/>
        </w:rPr>
        <w:t>8</w:t>
      </w:r>
      <w:r w:rsidRPr="008B399F">
        <w:rPr>
          <w:rFonts w:ascii="Times New Roman" w:hAnsi="Times New Roman" w:cs="Times New Roman"/>
          <w:color w:val="222222"/>
          <w:shd w:val="clear" w:color="auto" w:fill="FFFFFF"/>
        </w:rPr>
        <w:t>(1), 1930498.</w:t>
      </w:r>
    </w:p>
    <w:p w:rsidR="00A472AD" w:rsidRPr="008B399F" w:rsidRDefault="00A472AD" w:rsidP="00054300">
      <w:pPr>
        <w:pStyle w:val="Default"/>
        <w:jc w:val="both"/>
        <w:rPr>
          <w:rFonts w:ascii="Times New Roman" w:hAnsi="Times New Roman" w:cs="Times New Roman"/>
          <w:bCs/>
        </w:rPr>
      </w:pPr>
      <w:proofErr w:type="spellStart"/>
      <w:r w:rsidRPr="008B399F">
        <w:rPr>
          <w:rFonts w:ascii="Times New Roman" w:hAnsi="Times New Roman" w:cs="Times New Roman"/>
          <w:color w:val="222222"/>
          <w:shd w:val="clear" w:color="auto" w:fill="FFFFFF"/>
        </w:rPr>
        <w:t>Akpan</w:t>
      </w:r>
      <w:proofErr w:type="spellEnd"/>
      <w:r w:rsidRPr="008B399F">
        <w:rPr>
          <w:rFonts w:ascii="Times New Roman" w:hAnsi="Times New Roman" w:cs="Times New Roman"/>
          <w:color w:val="222222"/>
          <w:shd w:val="clear" w:color="auto" w:fill="FFFFFF"/>
        </w:rPr>
        <w:t xml:space="preserve">, E. S., </w:t>
      </w:r>
      <w:proofErr w:type="spellStart"/>
      <w:r w:rsidRPr="008B399F">
        <w:rPr>
          <w:rFonts w:ascii="Times New Roman" w:hAnsi="Times New Roman" w:cs="Times New Roman"/>
          <w:color w:val="222222"/>
          <w:shd w:val="clear" w:color="auto" w:fill="FFFFFF"/>
        </w:rPr>
        <w:t>Nwosu</w:t>
      </w:r>
      <w:proofErr w:type="spellEnd"/>
      <w:r w:rsidRPr="008B399F">
        <w:rPr>
          <w:rFonts w:ascii="Times New Roman" w:hAnsi="Times New Roman" w:cs="Times New Roman"/>
          <w:color w:val="222222"/>
          <w:shd w:val="clear" w:color="auto" w:fill="FFFFFF"/>
        </w:rPr>
        <w:t xml:space="preserve">, E. C., &amp; </w:t>
      </w:r>
      <w:proofErr w:type="spellStart"/>
      <w:r w:rsidRPr="008B399F">
        <w:rPr>
          <w:rFonts w:ascii="Times New Roman" w:hAnsi="Times New Roman" w:cs="Times New Roman"/>
          <w:color w:val="222222"/>
          <w:shd w:val="clear" w:color="auto" w:fill="FFFFFF"/>
        </w:rPr>
        <w:t>Eweke</w:t>
      </w:r>
      <w:proofErr w:type="spellEnd"/>
      <w:r w:rsidRPr="008B399F">
        <w:rPr>
          <w:rFonts w:ascii="Times New Roman" w:hAnsi="Times New Roman" w:cs="Times New Roman"/>
          <w:color w:val="222222"/>
          <w:shd w:val="clear" w:color="auto" w:fill="FFFFFF"/>
        </w:rPr>
        <w:t xml:space="preserve">, G. O. (2017). Causality between non-oil export, financial </w:t>
      </w:r>
      <w:r>
        <w:rPr>
          <w:rFonts w:ascii="Times New Roman" w:hAnsi="Times New Roman" w:cs="Times New Roman"/>
          <w:color w:val="222222"/>
          <w:shd w:val="clear" w:color="auto" w:fill="FFFFFF"/>
        </w:rPr>
        <w:tab/>
      </w:r>
      <w:r w:rsidRPr="008B399F">
        <w:rPr>
          <w:rFonts w:ascii="Times New Roman" w:hAnsi="Times New Roman" w:cs="Times New Roman"/>
          <w:color w:val="222222"/>
          <w:shd w:val="clear" w:color="auto" w:fill="FFFFFF"/>
        </w:rPr>
        <w:t xml:space="preserve">sector </w:t>
      </w:r>
      <w:r w:rsidRPr="008B399F">
        <w:rPr>
          <w:rFonts w:ascii="Times New Roman" w:hAnsi="Times New Roman" w:cs="Times New Roman"/>
          <w:color w:val="222222"/>
          <w:shd w:val="clear" w:color="auto" w:fill="FFFFFF"/>
        </w:rPr>
        <w:tab/>
        <w:t>development and economic growth: Evidence from Nigeria. </w:t>
      </w:r>
      <w:r w:rsidRPr="008B399F">
        <w:rPr>
          <w:rFonts w:ascii="Times New Roman" w:hAnsi="Times New Roman" w:cs="Times New Roman"/>
          <w:i/>
          <w:iCs/>
          <w:color w:val="222222"/>
          <w:shd w:val="clear" w:color="auto" w:fill="FFFFFF"/>
        </w:rPr>
        <w:t xml:space="preserve">Journal of </w:t>
      </w:r>
      <w:r>
        <w:rPr>
          <w:rFonts w:ascii="Times New Roman" w:hAnsi="Times New Roman" w:cs="Times New Roman"/>
          <w:i/>
          <w:iCs/>
          <w:color w:val="222222"/>
          <w:shd w:val="clear" w:color="auto" w:fill="FFFFFF"/>
        </w:rPr>
        <w:tab/>
      </w:r>
      <w:r w:rsidRPr="008B399F">
        <w:rPr>
          <w:rFonts w:ascii="Times New Roman" w:hAnsi="Times New Roman" w:cs="Times New Roman"/>
          <w:i/>
          <w:iCs/>
          <w:color w:val="222222"/>
          <w:shd w:val="clear" w:color="auto" w:fill="FFFFFF"/>
        </w:rPr>
        <w:t xml:space="preserve">Mathematical </w:t>
      </w:r>
      <w:r w:rsidRPr="008B399F">
        <w:rPr>
          <w:rFonts w:ascii="Times New Roman" w:hAnsi="Times New Roman" w:cs="Times New Roman"/>
          <w:i/>
          <w:iCs/>
          <w:color w:val="222222"/>
          <w:shd w:val="clear" w:color="auto" w:fill="FFFFFF"/>
        </w:rPr>
        <w:tab/>
        <w:t>Finance</w:t>
      </w:r>
      <w:r w:rsidRPr="008B399F">
        <w:rPr>
          <w:rFonts w:ascii="Times New Roman" w:hAnsi="Times New Roman" w:cs="Times New Roman"/>
          <w:color w:val="222222"/>
          <w:shd w:val="clear" w:color="auto" w:fill="FFFFFF"/>
        </w:rPr>
        <w:t>, </w:t>
      </w:r>
      <w:r w:rsidRPr="008B399F">
        <w:rPr>
          <w:rFonts w:ascii="Times New Roman" w:hAnsi="Times New Roman" w:cs="Times New Roman"/>
          <w:i/>
          <w:iCs/>
          <w:color w:val="222222"/>
          <w:shd w:val="clear" w:color="auto" w:fill="FFFFFF"/>
        </w:rPr>
        <w:t>7</w:t>
      </w:r>
      <w:r w:rsidRPr="008B399F">
        <w:rPr>
          <w:rFonts w:ascii="Times New Roman" w:hAnsi="Times New Roman" w:cs="Times New Roman"/>
          <w:color w:val="222222"/>
          <w:shd w:val="clear" w:color="auto" w:fill="FFFFFF"/>
        </w:rPr>
        <w:t>(01), 39.</w:t>
      </w:r>
    </w:p>
    <w:p w:rsidR="00A472AD" w:rsidRPr="008B399F" w:rsidRDefault="00A472AD" w:rsidP="00054300">
      <w:pPr>
        <w:autoSpaceDE w:val="0"/>
        <w:autoSpaceDN w:val="0"/>
        <w:adjustRightInd w:val="0"/>
        <w:spacing w:after="0" w:line="240" w:lineRule="auto"/>
        <w:jc w:val="both"/>
        <w:rPr>
          <w:rFonts w:ascii="Times New Roman" w:hAnsi="Times New Roman" w:cs="Times New Roman"/>
          <w:sz w:val="24"/>
          <w:szCs w:val="24"/>
        </w:rPr>
      </w:pPr>
      <w:r w:rsidRPr="008B399F">
        <w:rPr>
          <w:rFonts w:ascii="Times New Roman" w:hAnsi="Times New Roman" w:cs="Times New Roman"/>
          <w:color w:val="222222"/>
          <w:sz w:val="24"/>
          <w:szCs w:val="24"/>
          <w:shd w:val="clear" w:color="auto" w:fill="FFFFFF"/>
        </w:rPr>
        <w:t xml:space="preserve">Anthony, E., &amp; Mustafa, I. (2011). The impact of financial sector reforms on non-oil export in </w:t>
      </w:r>
      <w:r w:rsidRPr="008B399F">
        <w:rPr>
          <w:rFonts w:ascii="Times New Roman" w:hAnsi="Times New Roman" w:cs="Times New Roman"/>
          <w:color w:val="222222"/>
          <w:sz w:val="24"/>
          <w:szCs w:val="24"/>
          <w:shd w:val="clear" w:color="auto" w:fill="FFFFFF"/>
        </w:rPr>
        <w:tab/>
        <w:t>Nigeria. </w:t>
      </w:r>
      <w:r w:rsidRPr="008B399F">
        <w:rPr>
          <w:rFonts w:ascii="Times New Roman" w:hAnsi="Times New Roman" w:cs="Times New Roman"/>
          <w:i/>
          <w:iCs/>
          <w:color w:val="222222"/>
          <w:sz w:val="24"/>
          <w:szCs w:val="24"/>
          <w:shd w:val="clear" w:color="auto" w:fill="FFFFFF"/>
        </w:rPr>
        <w:t>Journal of Economics</w:t>
      </w:r>
      <w:r w:rsidRPr="008B399F">
        <w:rPr>
          <w:rFonts w:ascii="Times New Roman" w:hAnsi="Times New Roman" w:cs="Times New Roman"/>
          <w:color w:val="222222"/>
          <w:sz w:val="24"/>
          <w:szCs w:val="24"/>
          <w:shd w:val="clear" w:color="auto" w:fill="FFFFFF"/>
        </w:rPr>
        <w:t>, </w:t>
      </w:r>
      <w:r w:rsidRPr="008B399F">
        <w:rPr>
          <w:rFonts w:ascii="Times New Roman" w:hAnsi="Times New Roman" w:cs="Times New Roman"/>
          <w:i/>
          <w:iCs/>
          <w:color w:val="222222"/>
          <w:sz w:val="24"/>
          <w:szCs w:val="24"/>
          <w:shd w:val="clear" w:color="auto" w:fill="FFFFFF"/>
        </w:rPr>
        <w:t>2</w:t>
      </w:r>
      <w:r w:rsidRPr="008B399F">
        <w:rPr>
          <w:rFonts w:ascii="Times New Roman" w:hAnsi="Times New Roman" w:cs="Times New Roman"/>
          <w:color w:val="222222"/>
          <w:sz w:val="24"/>
          <w:szCs w:val="24"/>
          <w:shd w:val="clear" w:color="auto" w:fill="FFFFFF"/>
        </w:rPr>
        <w:t>(2), 115-120.</w:t>
      </w:r>
    </w:p>
    <w:p w:rsidR="009D6042" w:rsidRPr="009D6042" w:rsidRDefault="009D6042" w:rsidP="00054300">
      <w:pPr>
        <w:spacing w:after="0" w:line="240" w:lineRule="auto"/>
        <w:jc w:val="both"/>
        <w:rPr>
          <w:rFonts w:ascii="Times New Roman" w:hAnsi="Times New Roman" w:cs="Times New Roman"/>
          <w:color w:val="222222"/>
          <w:sz w:val="24"/>
          <w:szCs w:val="24"/>
          <w:shd w:val="clear" w:color="auto" w:fill="FFFFFF"/>
        </w:rPr>
      </w:pPr>
      <w:proofErr w:type="spellStart"/>
      <w:r w:rsidRPr="008F44D7">
        <w:rPr>
          <w:rFonts w:ascii="Times New Roman" w:hAnsi="Times New Roman" w:cs="Times New Roman"/>
          <w:color w:val="222222"/>
          <w:sz w:val="24"/>
          <w:szCs w:val="24"/>
          <w:shd w:val="clear" w:color="auto" w:fill="FFFFFF"/>
        </w:rPr>
        <w:t>Anyanwu</w:t>
      </w:r>
      <w:proofErr w:type="spellEnd"/>
      <w:r w:rsidRPr="008F44D7">
        <w:rPr>
          <w:rFonts w:ascii="Times New Roman" w:hAnsi="Times New Roman" w:cs="Times New Roman"/>
          <w:color w:val="222222"/>
          <w:sz w:val="24"/>
          <w:szCs w:val="24"/>
          <w:shd w:val="clear" w:color="auto" w:fill="FFFFFF"/>
        </w:rPr>
        <w:t>, J. C. (1995). Export credit and export performance in Nigeria. </w:t>
      </w:r>
      <w:r w:rsidRPr="008F44D7">
        <w:rPr>
          <w:rFonts w:ascii="Times New Roman" w:hAnsi="Times New Roman" w:cs="Times New Roman"/>
          <w:i/>
          <w:iCs/>
          <w:color w:val="222222"/>
          <w:sz w:val="24"/>
          <w:szCs w:val="24"/>
          <w:shd w:val="clear" w:color="auto" w:fill="FFFFFF"/>
        </w:rPr>
        <w:t xml:space="preserve">External Trade and </w:t>
      </w:r>
      <w:r>
        <w:rPr>
          <w:rFonts w:ascii="Times New Roman" w:hAnsi="Times New Roman" w:cs="Times New Roman"/>
          <w:i/>
          <w:iCs/>
          <w:color w:val="222222"/>
          <w:sz w:val="24"/>
          <w:szCs w:val="24"/>
          <w:shd w:val="clear" w:color="auto" w:fill="FFFFFF"/>
        </w:rPr>
        <w:tab/>
      </w:r>
      <w:r w:rsidRPr="008F44D7">
        <w:rPr>
          <w:rFonts w:ascii="Times New Roman" w:hAnsi="Times New Roman" w:cs="Times New Roman"/>
          <w:i/>
          <w:iCs/>
          <w:color w:val="222222"/>
          <w:sz w:val="24"/>
          <w:szCs w:val="24"/>
          <w:shd w:val="clear" w:color="auto" w:fill="FFFFFF"/>
        </w:rPr>
        <w:t>Economic Development in Nigeria</w:t>
      </w:r>
      <w:r w:rsidRPr="008F44D7">
        <w:rPr>
          <w:rFonts w:ascii="Times New Roman" w:hAnsi="Times New Roman" w:cs="Times New Roman"/>
          <w:color w:val="222222"/>
          <w:sz w:val="24"/>
          <w:szCs w:val="24"/>
          <w:shd w:val="clear" w:color="auto" w:fill="FFFFFF"/>
        </w:rPr>
        <w:t>, 129-148.</w:t>
      </w:r>
    </w:p>
    <w:p w:rsidR="00A472AD" w:rsidRPr="008B399F" w:rsidRDefault="00A472AD" w:rsidP="00054300">
      <w:pPr>
        <w:autoSpaceDE w:val="0"/>
        <w:autoSpaceDN w:val="0"/>
        <w:adjustRightInd w:val="0"/>
        <w:spacing w:after="0" w:line="240" w:lineRule="auto"/>
        <w:jc w:val="both"/>
        <w:rPr>
          <w:rFonts w:ascii="Times New Roman" w:hAnsi="Times New Roman" w:cs="Times New Roman"/>
          <w:sz w:val="24"/>
          <w:szCs w:val="24"/>
        </w:rPr>
      </w:pPr>
      <w:proofErr w:type="spellStart"/>
      <w:r w:rsidRPr="008B399F">
        <w:rPr>
          <w:rFonts w:ascii="Times New Roman" w:hAnsi="Times New Roman" w:cs="Times New Roman"/>
          <w:sz w:val="24"/>
          <w:szCs w:val="24"/>
        </w:rPr>
        <w:t>Auboin</w:t>
      </w:r>
      <w:proofErr w:type="spellEnd"/>
      <w:r w:rsidRPr="008B399F">
        <w:rPr>
          <w:rFonts w:ascii="Times New Roman" w:hAnsi="Times New Roman" w:cs="Times New Roman"/>
          <w:sz w:val="24"/>
          <w:szCs w:val="24"/>
        </w:rPr>
        <w:t xml:space="preserve">, M. (2007). Boosting trade finance in developing countries: What link with the WTO? </w:t>
      </w:r>
      <w:r>
        <w:rPr>
          <w:rFonts w:ascii="Times New Roman" w:hAnsi="Times New Roman" w:cs="Times New Roman"/>
          <w:sz w:val="24"/>
          <w:szCs w:val="24"/>
        </w:rPr>
        <w:tab/>
      </w:r>
      <w:r w:rsidRPr="008B399F">
        <w:rPr>
          <w:rFonts w:ascii="Times New Roman" w:hAnsi="Times New Roman" w:cs="Times New Roman"/>
          <w:sz w:val="24"/>
          <w:szCs w:val="24"/>
        </w:rPr>
        <w:t xml:space="preserve">World </w:t>
      </w:r>
      <w:r w:rsidRPr="008B399F">
        <w:rPr>
          <w:rFonts w:ascii="Times New Roman" w:hAnsi="Times New Roman" w:cs="Times New Roman"/>
          <w:sz w:val="24"/>
          <w:szCs w:val="24"/>
        </w:rPr>
        <w:tab/>
        <w:t xml:space="preserve">Trade Organization Staff Working Paper Ersd-2007-04; 2007. Accessed 25th July, </w:t>
      </w:r>
      <w:r>
        <w:rPr>
          <w:rFonts w:ascii="Times New Roman" w:hAnsi="Times New Roman" w:cs="Times New Roman"/>
          <w:sz w:val="24"/>
          <w:szCs w:val="24"/>
        </w:rPr>
        <w:tab/>
      </w:r>
      <w:r w:rsidRPr="008B399F">
        <w:rPr>
          <w:rFonts w:ascii="Times New Roman" w:hAnsi="Times New Roman" w:cs="Times New Roman"/>
          <w:sz w:val="24"/>
          <w:szCs w:val="24"/>
        </w:rPr>
        <w:t xml:space="preserve">2015. </w:t>
      </w:r>
      <w:r w:rsidRPr="008B399F">
        <w:rPr>
          <w:rFonts w:ascii="Times New Roman" w:hAnsi="Times New Roman" w:cs="Times New Roman"/>
          <w:sz w:val="24"/>
          <w:szCs w:val="24"/>
        </w:rPr>
        <w:tab/>
      </w:r>
      <w:proofErr w:type="spellStart"/>
      <w:r w:rsidRPr="008B399F">
        <w:rPr>
          <w:rFonts w:ascii="Times New Roman" w:hAnsi="Times New Roman" w:cs="Times New Roman"/>
          <w:sz w:val="24"/>
          <w:szCs w:val="24"/>
        </w:rPr>
        <w:t>Available:http</w:t>
      </w:r>
      <w:proofErr w:type="spellEnd"/>
      <w:r w:rsidRPr="008B399F">
        <w:rPr>
          <w:rFonts w:ascii="Times New Roman" w:hAnsi="Times New Roman" w:cs="Times New Roman"/>
          <w:sz w:val="24"/>
          <w:szCs w:val="24"/>
        </w:rPr>
        <w:t>://ssrn.com/abstract=1086278</w:t>
      </w:r>
    </w:p>
    <w:p w:rsidR="00A472AD" w:rsidRPr="008B399F" w:rsidRDefault="00A472AD" w:rsidP="00054300">
      <w:pPr>
        <w:autoSpaceDE w:val="0"/>
        <w:autoSpaceDN w:val="0"/>
        <w:adjustRightInd w:val="0"/>
        <w:spacing w:after="0" w:line="240" w:lineRule="auto"/>
        <w:jc w:val="both"/>
        <w:rPr>
          <w:rFonts w:ascii="Times New Roman" w:hAnsi="Times New Roman" w:cs="Times New Roman"/>
          <w:sz w:val="24"/>
          <w:szCs w:val="24"/>
        </w:rPr>
      </w:pPr>
      <w:proofErr w:type="spellStart"/>
      <w:r w:rsidRPr="008B399F">
        <w:rPr>
          <w:rFonts w:ascii="Times New Roman" w:hAnsi="Times New Roman" w:cs="Times New Roman"/>
          <w:sz w:val="24"/>
          <w:szCs w:val="24"/>
        </w:rPr>
        <w:t>Auboin</w:t>
      </w:r>
      <w:proofErr w:type="spellEnd"/>
      <w:r w:rsidRPr="008B399F">
        <w:rPr>
          <w:rFonts w:ascii="Times New Roman" w:hAnsi="Times New Roman" w:cs="Times New Roman"/>
          <w:sz w:val="24"/>
          <w:szCs w:val="24"/>
        </w:rPr>
        <w:t xml:space="preserve">, M., and </w:t>
      </w:r>
      <w:proofErr w:type="spellStart"/>
      <w:r w:rsidRPr="008B399F">
        <w:rPr>
          <w:rFonts w:ascii="Times New Roman" w:hAnsi="Times New Roman" w:cs="Times New Roman"/>
          <w:sz w:val="24"/>
          <w:szCs w:val="24"/>
        </w:rPr>
        <w:t>Engemann</w:t>
      </w:r>
      <w:proofErr w:type="spellEnd"/>
      <w:r w:rsidRPr="008B399F">
        <w:rPr>
          <w:rFonts w:ascii="Times New Roman" w:hAnsi="Times New Roman" w:cs="Times New Roman"/>
          <w:sz w:val="24"/>
          <w:szCs w:val="24"/>
        </w:rPr>
        <w:t xml:space="preserve">, M. (2014). Testing the trade credit and trade link: evidence from data </w:t>
      </w:r>
      <w:r>
        <w:rPr>
          <w:rFonts w:ascii="Times New Roman" w:hAnsi="Times New Roman" w:cs="Times New Roman"/>
          <w:sz w:val="24"/>
          <w:szCs w:val="24"/>
        </w:rPr>
        <w:tab/>
      </w:r>
      <w:r w:rsidRPr="008B399F">
        <w:rPr>
          <w:rFonts w:ascii="Times New Roman" w:hAnsi="Times New Roman" w:cs="Times New Roman"/>
          <w:sz w:val="24"/>
          <w:szCs w:val="24"/>
        </w:rPr>
        <w:t xml:space="preserve">on export credit insurance. </w:t>
      </w:r>
      <w:r w:rsidRPr="008B399F">
        <w:rPr>
          <w:rFonts w:ascii="Times New Roman" w:hAnsi="Times New Roman" w:cs="Times New Roman"/>
          <w:i/>
          <w:sz w:val="24"/>
          <w:szCs w:val="24"/>
        </w:rPr>
        <w:t>Rev World Econ</w:t>
      </w:r>
      <w:r w:rsidRPr="008B399F">
        <w:rPr>
          <w:rFonts w:ascii="Times New Roman" w:hAnsi="Times New Roman" w:cs="Times New Roman"/>
          <w:sz w:val="24"/>
          <w:szCs w:val="24"/>
        </w:rPr>
        <w:t>, 150:715–743.</w:t>
      </w:r>
    </w:p>
    <w:p w:rsidR="009D6042" w:rsidRPr="009D6042" w:rsidRDefault="009D6042" w:rsidP="00054300">
      <w:pPr>
        <w:spacing w:after="0" w:line="240" w:lineRule="auto"/>
        <w:jc w:val="both"/>
        <w:rPr>
          <w:rFonts w:ascii="Times New Roman" w:hAnsi="Times New Roman" w:cs="Times New Roman"/>
          <w:color w:val="222222"/>
          <w:sz w:val="24"/>
          <w:szCs w:val="24"/>
          <w:shd w:val="clear" w:color="auto" w:fill="FFFFFF"/>
        </w:rPr>
      </w:pPr>
      <w:proofErr w:type="spellStart"/>
      <w:r w:rsidRPr="008F44D7">
        <w:rPr>
          <w:rFonts w:ascii="Times New Roman" w:hAnsi="Times New Roman" w:cs="Times New Roman"/>
          <w:color w:val="222222"/>
          <w:sz w:val="24"/>
          <w:szCs w:val="24"/>
          <w:shd w:val="clear" w:color="auto" w:fill="FFFFFF"/>
        </w:rPr>
        <w:t>Ayunku</w:t>
      </w:r>
      <w:proofErr w:type="spellEnd"/>
      <w:r w:rsidRPr="008F44D7">
        <w:rPr>
          <w:rFonts w:ascii="Times New Roman" w:hAnsi="Times New Roman" w:cs="Times New Roman"/>
          <w:color w:val="222222"/>
          <w:sz w:val="24"/>
          <w:szCs w:val="24"/>
          <w:shd w:val="clear" w:color="auto" w:fill="FFFFFF"/>
        </w:rPr>
        <w:t xml:space="preserve">, P., &amp; </w:t>
      </w:r>
      <w:proofErr w:type="spellStart"/>
      <w:r w:rsidRPr="008F44D7">
        <w:rPr>
          <w:rFonts w:ascii="Times New Roman" w:hAnsi="Times New Roman" w:cs="Times New Roman"/>
          <w:color w:val="222222"/>
          <w:sz w:val="24"/>
          <w:szCs w:val="24"/>
          <w:shd w:val="clear" w:color="auto" w:fill="FFFFFF"/>
        </w:rPr>
        <w:t>Eweke</w:t>
      </w:r>
      <w:proofErr w:type="spellEnd"/>
      <w:r w:rsidRPr="008F44D7">
        <w:rPr>
          <w:rFonts w:ascii="Times New Roman" w:hAnsi="Times New Roman" w:cs="Times New Roman"/>
          <w:color w:val="222222"/>
          <w:sz w:val="24"/>
          <w:szCs w:val="24"/>
          <w:shd w:val="clear" w:color="auto" w:fill="FFFFFF"/>
        </w:rPr>
        <w:t xml:space="preserve">, G. O. (2020). Banks credit, macroeconomic dynamics and the performance </w:t>
      </w:r>
      <w:r>
        <w:rPr>
          <w:rFonts w:ascii="Times New Roman" w:hAnsi="Times New Roman" w:cs="Times New Roman"/>
          <w:color w:val="222222"/>
          <w:sz w:val="24"/>
          <w:szCs w:val="24"/>
          <w:shd w:val="clear" w:color="auto" w:fill="FFFFFF"/>
        </w:rPr>
        <w:tab/>
      </w:r>
      <w:r w:rsidRPr="008F44D7">
        <w:rPr>
          <w:rFonts w:ascii="Times New Roman" w:hAnsi="Times New Roman" w:cs="Times New Roman"/>
          <w:color w:val="222222"/>
          <w:sz w:val="24"/>
          <w:szCs w:val="24"/>
          <w:shd w:val="clear" w:color="auto" w:fill="FFFFFF"/>
        </w:rPr>
        <w:t>of small and medium scale enterprises in Nigeria: A non-linear ARDL approach. </w:t>
      </w:r>
      <w:r w:rsidRPr="008F44D7">
        <w:rPr>
          <w:rFonts w:ascii="Times New Roman" w:hAnsi="Times New Roman" w:cs="Times New Roman"/>
          <w:i/>
          <w:iCs/>
          <w:color w:val="222222"/>
          <w:sz w:val="24"/>
          <w:szCs w:val="24"/>
          <w:shd w:val="clear" w:color="auto" w:fill="FFFFFF"/>
        </w:rPr>
        <w:t xml:space="preserve">European </w:t>
      </w:r>
      <w:r>
        <w:rPr>
          <w:rFonts w:ascii="Times New Roman" w:hAnsi="Times New Roman" w:cs="Times New Roman"/>
          <w:i/>
          <w:iCs/>
          <w:color w:val="222222"/>
          <w:sz w:val="24"/>
          <w:szCs w:val="24"/>
          <w:shd w:val="clear" w:color="auto" w:fill="FFFFFF"/>
        </w:rPr>
        <w:tab/>
      </w:r>
      <w:r w:rsidRPr="008F44D7">
        <w:rPr>
          <w:rFonts w:ascii="Times New Roman" w:hAnsi="Times New Roman" w:cs="Times New Roman"/>
          <w:i/>
          <w:iCs/>
          <w:color w:val="222222"/>
          <w:sz w:val="24"/>
          <w:szCs w:val="24"/>
          <w:shd w:val="clear" w:color="auto" w:fill="FFFFFF"/>
        </w:rPr>
        <w:t>Journal of Business and Management Research</w:t>
      </w:r>
      <w:r w:rsidRPr="008F44D7">
        <w:rPr>
          <w:rFonts w:ascii="Times New Roman" w:hAnsi="Times New Roman" w:cs="Times New Roman"/>
          <w:color w:val="222222"/>
          <w:sz w:val="24"/>
          <w:szCs w:val="24"/>
          <w:shd w:val="clear" w:color="auto" w:fill="FFFFFF"/>
        </w:rPr>
        <w:t>, </w:t>
      </w:r>
      <w:r w:rsidRPr="008F44D7">
        <w:rPr>
          <w:rFonts w:ascii="Times New Roman" w:hAnsi="Times New Roman" w:cs="Times New Roman"/>
          <w:i/>
          <w:iCs/>
          <w:color w:val="222222"/>
          <w:sz w:val="24"/>
          <w:szCs w:val="24"/>
          <w:shd w:val="clear" w:color="auto" w:fill="FFFFFF"/>
        </w:rPr>
        <w:t>5</w:t>
      </w:r>
      <w:r w:rsidRPr="008F44D7">
        <w:rPr>
          <w:rFonts w:ascii="Times New Roman" w:hAnsi="Times New Roman" w:cs="Times New Roman"/>
          <w:color w:val="222222"/>
          <w:sz w:val="24"/>
          <w:szCs w:val="24"/>
          <w:shd w:val="clear" w:color="auto" w:fill="FFFFFF"/>
        </w:rPr>
        <w:t>(1).</w:t>
      </w:r>
    </w:p>
    <w:p w:rsidR="00A472AD" w:rsidRPr="008B399F" w:rsidRDefault="00A472AD" w:rsidP="00054300">
      <w:pPr>
        <w:autoSpaceDE w:val="0"/>
        <w:autoSpaceDN w:val="0"/>
        <w:adjustRightInd w:val="0"/>
        <w:spacing w:after="0" w:line="240" w:lineRule="auto"/>
        <w:jc w:val="both"/>
        <w:rPr>
          <w:rFonts w:ascii="Times New Roman" w:hAnsi="Times New Roman" w:cs="Times New Roman"/>
          <w:sz w:val="24"/>
          <w:szCs w:val="24"/>
        </w:rPr>
      </w:pPr>
      <w:proofErr w:type="spellStart"/>
      <w:r w:rsidRPr="008B399F">
        <w:rPr>
          <w:rFonts w:ascii="Times New Roman" w:hAnsi="Times New Roman" w:cs="Times New Roman"/>
          <w:sz w:val="24"/>
          <w:szCs w:val="24"/>
        </w:rPr>
        <w:t>Baltensperger</w:t>
      </w:r>
      <w:proofErr w:type="spellEnd"/>
      <w:r w:rsidRPr="008B399F">
        <w:rPr>
          <w:rFonts w:ascii="Times New Roman" w:hAnsi="Times New Roman" w:cs="Times New Roman"/>
          <w:sz w:val="24"/>
          <w:szCs w:val="24"/>
        </w:rPr>
        <w:t xml:space="preserve">, E., and </w:t>
      </w:r>
      <w:proofErr w:type="spellStart"/>
      <w:r w:rsidRPr="008B399F">
        <w:rPr>
          <w:rFonts w:ascii="Times New Roman" w:hAnsi="Times New Roman" w:cs="Times New Roman"/>
          <w:sz w:val="24"/>
          <w:szCs w:val="24"/>
        </w:rPr>
        <w:t>Herge</w:t>
      </w:r>
      <w:proofErr w:type="spellEnd"/>
      <w:r w:rsidRPr="008B399F">
        <w:rPr>
          <w:rFonts w:ascii="Times New Roman" w:hAnsi="Times New Roman" w:cs="Times New Roman"/>
          <w:sz w:val="24"/>
          <w:szCs w:val="24"/>
        </w:rPr>
        <w:t xml:space="preserve">, N. (2009). Exporting against Risk? Theory and Evidence from </w:t>
      </w:r>
      <w:r>
        <w:rPr>
          <w:rFonts w:ascii="Times New Roman" w:hAnsi="Times New Roman" w:cs="Times New Roman"/>
          <w:sz w:val="24"/>
          <w:szCs w:val="24"/>
        </w:rPr>
        <w:tab/>
      </w:r>
      <w:r w:rsidRPr="008B399F">
        <w:rPr>
          <w:rFonts w:ascii="Times New Roman" w:hAnsi="Times New Roman" w:cs="Times New Roman"/>
          <w:sz w:val="24"/>
          <w:szCs w:val="24"/>
        </w:rPr>
        <w:t xml:space="preserve">Public </w:t>
      </w:r>
      <w:r w:rsidRPr="008B399F">
        <w:rPr>
          <w:rFonts w:ascii="Times New Roman" w:hAnsi="Times New Roman" w:cs="Times New Roman"/>
          <w:sz w:val="24"/>
          <w:szCs w:val="24"/>
        </w:rPr>
        <w:tab/>
        <w:t xml:space="preserve">Export Insurance Schemes in OECD Countries. </w:t>
      </w:r>
      <w:r w:rsidRPr="008B399F">
        <w:rPr>
          <w:rFonts w:ascii="Times New Roman" w:hAnsi="Times New Roman" w:cs="Times New Roman"/>
          <w:i/>
          <w:sz w:val="24"/>
          <w:szCs w:val="24"/>
        </w:rPr>
        <w:t>Open Econ Rev</w:t>
      </w:r>
      <w:r w:rsidRPr="008B399F">
        <w:rPr>
          <w:rFonts w:ascii="Times New Roman" w:hAnsi="Times New Roman" w:cs="Times New Roman"/>
          <w:sz w:val="24"/>
          <w:szCs w:val="24"/>
        </w:rPr>
        <w:t>, 20:545–563.</w:t>
      </w:r>
    </w:p>
    <w:p w:rsidR="00A472AD" w:rsidRPr="008B399F" w:rsidRDefault="00A472AD" w:rsidP="00054300">
      <w:pPr>
        <w:autoSpaceDE w:val="0"/>
        <w:autoSpaceDN w:val="0"/>
        <w:adjustRightInd w:val="0"/>
        <w:spacing w:after="0" w:line="240" w:lineRule="auto"/>
        <w:jc w:val="both"/>
        <w:rPr>
          <w:rFonts w:ascii="Times New Roman" w:hAnsi="Times New Roman" w:cs="Times New Roman"/>
          <w:b/>
          <w:bCs/>
          <w:i/>
          <w:iCs/>
          <w:sz w:val="24"/>
          <w:szCs w:val="24"/>
        </w:rPr>
      </w:pPr>
      <w:r w:rsidRPr="008B399F">
        <w:rPr>
          <w:rFonts w:ascii="Times New Roman" w:hAnsi="Times New Roman" w:cs="Times New Roman"/>
          <w:sz w:val="24"/>
          <w:szCs w:val="24"/>
        </w:rPr>
        <w:t>Beck, T. (2002), ‘Financial Development and International Trade. Is There a Link?</w:t>
      </w:r>
      <w:proofErr w:type="gramStart"/>
      <w:r w:rsidRPr="008B399F">
        <w:rPr>
          <w:rFonts w:ascii="Times New Roman" w:hAnsi="Times New Roman" w:cs="Times New Roman"/>
          <w:sz w:val="24"/>
          <w:szCs w:val="24"/>
        </w:rPr>
        <w:t>’,</w:t>
      </w:r>
      <w:proofErr w:type="gramEnd"/>
      <w:r w:rsidRPr="008B399F">
        <w:rPr>
          <w:rFonts w:ascii="Times New Roman" w:hAnsi="Times New Roman" w:cs="Times New Roman"/>
          <w:sz w:val="24"/>
          <w:szCs w:val="24"/>
        </w:rPr>
        <w:t xml:space="preserve"> Journal of </w:t>
      </w:r>
      <w:r w:rsidRPr="008B399F">
        <w:rPr>
          <w:rFonts w:ascii="Times New Roman" w:hAnsi="Times New Roman" w:cs="Times New Roman"/>
          <w:sz w:val="24"/>
          <w:szCs w:val="24"/>
        </w:rPr>
        <w:tab/>
        <w:t>International Economics, 57, 1, 107–31.</w:t>
      </w:r>
    </w:p>
    <w:p w:rsidR="00A472AD" w:rsidRPr="008B399F" w:rsidRDefault="00A472AD" w:rsidP="00054300">
      <w:pPr>
        <w:autoSpaceDE w:val="0"/>
        <w:autoSpaceDN w:val="0"/>
        <w:adjustRightInd w:val="0"/>
        <w:spacing w:after="0" w:line="240" w:lineRule="auto"/>
        <w:jc w:val="both"/>
        <w:rPr>
          <w:rFonts w:ascii="Times New Roman" w:hAnsi="Times New Roman" w:cs="Times New Roman"/>
          <w:i/>
          <w:sz w:val="24"/>
          <w:szCs w:val="24"/>
        </w:rPr>
      </w:pPr>
      <w:proofErr w:type="spellStart"/>
      <w:r w:rsidRPr="008B399F">
        <w:rPr>
          <w:rFonts w:ascii="Times New Roman" w:hAnsi="Times New Roman" w:cs="Times New Roman"/>
          <w:sz w:val="24"/>
          <w:szCs w:val="24"/>
        </w:rPr>
        <w:t>Chor</w:t>
      </w:r>
      <w:proofErr w:type="spellEnd"/>
      <w:r w:rsidRPr="008B399F">
        <w:rPr>
          <w:rFonts w:ascii="Times New Roman" w:hAnsi="Times New Roman" w:cs="Times New Roman"/>
          <w:sz w:val="24"/>
          <w:szCs w:val="24"/>
        </w:rPr>
        <w:t xml:space="preserve">, D., &amp; </w:t>
      </w:r>
      <w:proofErr w:type="spellStart"/>
      <w:r w:rsidRPr="008B399F">
        <w:rPr>
          <w:rFonts w:ascii="Times New Roman" w:hAnsi="Times New Roman" w:cs="Times New Roman"/>
          <w:sz w:val="24"/>
          <w:szCs w:val="24"/>
        </w:rPr>
        <w:t>Manova</w:t>
      </w:r>
      <w:proofErr w:type="spellEnd"/>
      <w:r w:rsidRPr="008B399F">
        <w:rPr>
          <w:rFonts w:ascii="Times New Roman" w:hAnsi="Times New Roman" w:cs="Times New Roman"/>
          <w:sz w:val="24"/>
          <w:szCs w:val="24"/>
        </w:rPr>
        <w:t xml:space="preserve">, K. (2011). Off the cliff and back? Credit conditions and international trade </w:t>
      </w:r>
      <w:r>
        <w:rPr>
          <w:rFonts w:ascii="Times New Roman" w:hAnsi="Times New Roman" w:cs="Times New Roman"/>
          <w:sz w:val="24"/>
          <w:szCs w:val="24"/>
        </w:rPr>
        <w:tab/>
      </w:r>
      <w:r w:rsidRPr="008B399F">
        <w:rPr>
          <w:rFonts w:ascii="Times New Roman" w:hAnsi="Times New Roman" w:cs="Times New Roman"/>
          <w:sz w:val="24"/>
          <w:szCs w:val="24"/>
        </w:rPr>
        <w:t xml:space="preserve">during </w:t>
      </w:r>
      <w:r w:rsidRPr="008B399F">
        <w:rPr>
          <w:rFonts w:ascii="Times New Roman" w:hAnsi="Times New Roman" w:cs="Times New Roman"/>
          <w:sz w:val="24"/>
          <w:szCs w:val="24"/>
        </w:rPr>
        <w:tab/>
        <w:t xml:space="preserve">the Global Financial Crisis. </w:t>
      </w:r>
      <w:r w:rsidRPr="008B399F">
        <w:rPr>
          <w:rFonts w:ascii="Times New Roman" w:hAnsi="Times New Roman" w:cs="Times New Roman"/>
          <w:i/>
          <w:sz w:val="24"/>
          <w:szCs w:val="24"/>
        </w:rPr>
        <w:t>Journal of International Economics, forthcoming.</w:t>
      </w:r>
    </w:p>
    <w:p w:rsidR="00A472AD" w:rsidRPr="008B399F" w:rsidRDefault="00A472AD" w:rsidP="00054300">
      <w:pPr>
        <w:autoSpaceDE w:val="0"/>
        <w:autoSpaceDN w:val="0"/>
        <w:adjustRightInd w:val="0"/>
        <w:spacing w:after="0" w:line="240" w:lineRule="auto"/>
        <w:jc w:val="both"/>
        <w:rPr>
          <w:rFonts w:ascii="Times New Roman" w:hAnsi="Times New Roman" w:cs="Times New Roman"/>
          <w:sz w:val="24"/>
          <w:szCs w:val="24"/>
        </w:rPr>
      </w:pPr>
      <w:proofErr w:type="spellStart"/>
      <w:r w:rsidRPr="008B399F">
        <w:rPr>
          <w:rFonts w:ascii="Times New Roman" w:hAnsi="Times New Roman" w:cs="Times New Roman"/>
          <w:sz w:val="24"/>
          <w:szCs w:val="24"/>
        </w:rPr>
        <w:t>Chukuigwe</w:t>
      </w:r>
      <w:proofErr w:type="spellEnd"/>
      <w:r w:rsidRPr="008B399F">
        <w:rPr>
          <w:rFonts w:ascii="Times New Roman" w:hAnsi="Times New Roman" w:cs="Times New Roman"/>
          <w:sz w:val="24"/>
          <w:szCs w:val="24"/>
        </w:rPr>
        <w:t xml:space="preserve">, E. C, &amp; </w:t>
      </w:r>
      <w:proofErr w:type="spellStart"/>
      <w:r w:rsidRPr="008B399F">
        <w:rPr>
          <w:rFonts w:ascii="Times New Roman" w:hAnsi="Times New Roman" w:cs="Times New Roman"/>
          <w:sz w:val="24"/>
          <w:szCs w:val="24"/>
        </w:rPr>
        <w:t>Abili</w:t>
      </w:r>
      <w:proofErr w:type="spellEnd"/>
      <w:r w:rsidRPr="008B399F">
        <w:rPr>
          <w:rFonts w:ascii="Times New Roman" w:hAnsi="Times New Roman" w:cs="Times New Roman"/>
          <w:sz w:val="24"/>
          <w:szCs w:val="24"/>
        </w:rPr>
        <w:t xml:space="preserve">, I. D. (2008). An econometric analysis of the impact of monetary and </w:t>
      </w:r>
      <w:r>
        <w:rPr>
          <w:rFonts w:ascii="Times New Roman" w:hAnsi="Times New Roman" w:cs="Times New Roman"/>
          <w:sz w:val="24"/>
          <w:szCs w:val="24"/>
        </w:rPr>
        <w:tab/>
      </w:r>
      <w:r w:rsidRPr="008B399F">
        <w:rPr>
          <w:rFonts w:ascii="Times New Roman" w:hAnsi="Times New Roman" w:cs="Times New Roman"/>
          <w:sz w:val="24"/>
          <w:szCs w:val="24"/>
        </w:rPr>
        <w:t xml:space="preserve">fiscal </w:t>
      </w:r>
      <w:r w:rsidRPr="008B399F">
        <w:rPr>
          <w:rFonts w:ascii="Times New Roman" w:hAnsi="Times New Roman" w:cs="Times New Roman"/>
          <w:sz w:val="24"/>
          <w:szCs w:val="24"/>
        </w:rPr>
        <w:tab/>
        <w:t xml:space="preserve">policies on non–oil exports in Nigeria. From &lt;www.medwelljournals. </w:t>
      </w:r>
      <w:r w:rsidRPr="008B399F">
        <w:rPr>
          <w:rFonts w:ascii="Times New Roman" w:hAnsi="Times New Roman" w:cs="Times New Roman"/>
          <w:sz w:val="24"/>
          <w:szCs w:val="24"/>
        </w:rPr>
        <w:tab/>
      </w:r>
      <w:proofErr w:type="gramStart"/>
      <w:r w:rsidRPr="008B399F">
        <w:rPr>
          <w:rFonts w:ascii="Times New Roman" w:hAnsi="Times New Roman" w:cs="Times New Roman"/>
          <w:sz w:val="24"/>
          <w:szCs w:val="24"/>
        </w:rPr>
        <w:t>com/</w:t>
      </w:r>
      <w:proofErr w:type="spellStart"/>
      <w:r w:rsidRPr="008B399F">
        <w:rPr>
          <w:rFonts w:ascii="Times New Roman" w:hAnsi="Times New Roman" w:cs="Times New Roman"/>
          <w:sz w:val="24"/>
          <w:szCs w:val="24"/>
        </w:rPr>
        <w:t>fulltext</w:t>
      </w:r>
      <w:proofErr w:type="spellEnd"/>
      <w:r w:rsidRPr="008B399F">
        <w:rPr>
          <w:rFonts w:ascii="Times New Roman" w:hAnsi="Times New Roman" w:cs="Times New Roman"/>
          <w:sz w:val="24"/>
          <w:szCs w:val="24"/>
        </w:rPr>
        <w:t>/</w:t>
      </w:r>
      <w:proofErr w:type="spellStart"/>
      <w:r w:rsidRPr="008B399F">
        <w:rPr>
          <w:rFonts w:ascii="Times New Roman" w:hAnsi="Times New Roman" w:cs="Times New Roman"/>
          <w:sz w:val="24"/>
          <w:szCs w:val="24"/>
        </w:rPr>
        <w:t>ibm</w:t>
      </w:r>
      <w:proofErr w:type="spellEnd"/>
      <w:r w:rsidRPr="008B399F">
        <w:rPr>
          <w:rFonts w:ascii="Times New Roman" w:hAnsi="Times New Roman" w:cs="Times New Roman"/>
          <w:sz w:val="24"/>
          <w:szCs w:val="24"/>
        </w:rPr>
        <w:t>/2008/85-90</w:t>
      </w:r>
      <w:proofErr w:type="gramEnd"/>
      <w:r w:rsidRPr="008B399F">
        <w:rPr>
          <w:rFonts w:ascii="Times New Roman" w:hAnsi="Times New Roman" w:cs="Times New Roman"/>
          <w:sz w:val="24"/>
          <w:szCs w:val="24"/>
        </w:rPr>
        <w:t>&gt; (Retrieved 18 May, 2020).</w:t>
      </w:r>
    </w:p>
    <w:p w:rsidR="00A472AD" w:rsidRPr="008B399F" w:rsidRDefault="00A472AD" w:rsidP="00054300">
      <w:pPr>
        <w:spacing w:after="0" w:line="240" w:lineRule="auto"/>
        <w:jc w:val="both"/>
        <w:rPr>
          <w:rFonts w:ascii="Times New Roman" w:hAnsi="Times New Roman" w:cs="Times New Roman"/>
          <w:color w:val="222222"/>
          <w:sz w:val="24"/>
          <w:szCs w:val="24"/>
          <w:shd w:val="clear" w:color="auto" w:fill="FFFFFF"/>
        </w:rPr>
      </w:pPr>
      <w:proofErr w:type="spellStart"/>
      <w:r w:rsidRPr="008B399F">
        <w:rPr>
          <w:rFonts w:ascii="Times New Roman" w:hAnsi="Times New Roman" w:cs="Times New Roman"/>
          <w:color w:val="222222"/>
          <w:sz w:val="24"/>
          <w:szCs w:val="24"/>
          <w:shd w:val="clear" w:color="auto" w:fill="FFFFFF"/>
        </w:rPr>
        <w:t>Ciani</w:t>
      </w:r>
      <w:proofErr w:type="spellEnd"/>
      <w:r w:rsidRPr="008B399F">
        <w:rPr>
          <w:rFonts w:ascii="Times New Roman" w:hAnsi="Times New Roman" w:cs="Times New Roman"/>
          <w:color w:val="222222"/>
          <w:sz w:val="24"/>
          <w:szCs w:val="24"/>
          <w:shd w:val="clear" w:color="auto" w:fill="FFFFFF"/>
        </w:rPr>
        <w:t xml:space="preserve">, A., &amp; </w:t>
      </w:r>
      <w:proofErr w:type="spellStart"/>
      <w:r w:rsidRPr="008B399F">
        <w:rPr>
          <w:rFonts w:ascii="Times New Roman" w:hAnsi="Times New Roman" w:cs="Times New Roman"/>
          <w:color w:val="222222"/>
          <w:sz w:val="24"/>
          <w:szCs w:val="24"/>
          <w:shd w:val="clear" w:color="auto" w:fill="FFFFFF"/>
        </w:rPr>
        <w:t>Bartoli</w:t>
      </w:r>
      <w:proofErr w:type="spellEnd"/>
      <w:r w:rsidRPr="008B399F">
        <w:rPr>
          <w:rFonts w:ascii="Times New Roman" w:hAnsi="Times New Roman" w:cs="Times New Roman"/>
          <w:color w:val="222222"/>
          <w:sz w:val="24"/>
          <w:szCs w:val="24"/>
          <w:shd w:val="clear" w:color="auto" w:fill="FFFFFF"/>
        </w:rPr>
        <w:t>, F. (2020). Export quality differentiation under credit constraints. </w:t>
      </w:r>
      <w:r w:rsidRPr="008B399F">
        <w:rPr>
          <w:rFonts w:ascii="Times New Roman" w:hAnsi="Times New Roman" w:cs="Times New Roman"/>
          <w:i/>
          <w:iCs/>
          <w:color w:val="222222"/>
          <w:sz w:val="24"/>
          <w:szCs w:val="24"/>
          <w:shd w:val="clear" w:color="auto" w:fill="FFFFFF"/>
        </w:rPr>
        <w:t xml:space="preserve">The </w:t>
      </w:r>
      <w:r w:rsidRPr="008B399F">
        <w:rPr>
          <w:rFonts w:ascii="Times New Roman" w:hAnsi="Times New Roman" w:cs="Times New Roman"/>
          <w:i/>
          <w:iCs/>
          <w:color w:val="222222"/>
          <w:sz w:val="24"/>
          <w:szCs w:val="24"/>
          <w:shd w:val="clear" w:color="auto" w:fill="FFFFFF"/>
        </w:rPr>
        <w:tab/>
        <w:t>World Economy</w:t>
      </w:r>
      <w:r w:rsidRPr="008B399F">
        <w:rPr>
          <w:rFonts w:ascii="Times New Roman" w:hAnsi="Times New Roman" w:cs="Times New Roman"/>
          <w:color w:val="222222"/>
          <w:sz w:val="24"/>
          <w:szCs w:val="24"/>
          <w:shd w:val="clear" w:color="auto" w:fill="FFFFFF"/>
        </w:rPr>
        <w:t>, </w:t>
      </w:r>
      <w:r w:rsidRPr="008B399F">
        <w:rPr>
          <w:rFonts w:ascii="Times New Roman" w:hAnsi="Times New Roman" w:cs="Times New Roman"/>
          <w:i/>
          <w:iCs/>
          <w:color w:val="222222"/>
          <w:sz w:val="24"/>
          <w:szCs w:val="24"/>
          <w:shd w:val="clear" w:color="auto" w:fill="FFFFFF"/>
        </w:rPr>
        <w:t>43</w:t>
      </w:r>
      <w:r w:rsidRPr="008B399F">
        <w:rPr>
          <w:rFonts w:ascii="Times New Roman" w:hAnsi="Times New Roman" w:cs="Times New Roman"/>
          <w:color w:val="222222"/>
          <w:sz w:val="24"/>
          <w:szCs w:val="24"/>
          <w:shd w:val="clear" w:color="auto" w:fill="FFFFFF"/>
        </w:rPr>
        <w:t>(5), 1398-1433.</w:t>
      </w:r>
    </w:p>
    <w:p w:rsidR="00A472AD" w:rsidRPr="008B399F" w:rsidRDefault="00A472AD" w:rsidP="00054300">
      <w:pPr>
        <w:spacing w:after="0" w:line="240" w:lineRule="auto"/>
        <w:jc w:val="both"/>
        <w:rPr>
          <w:rFonts w:ascii="Times New Roman" w:hAnsi="Times New Roman" w:cs="Times New Roman"/>
          <w:color w:val="222222"/>
          <w:sz w:val="24"/>
          <w:szCs w:val="24"/>
          <w:shd w:val="clear" w:color="auto" w:fill="FFFFFF"/>
        </w:rPr>
      </w:pPr>
      <w:proofErr w:type="spellStart"/>
      <w:r w:rsidRPr="008B399F">
        <w:rPr>
          <w:rFonts w:ascii="Times New Roman" w:hAnsi="Times New Roman" w:cs="Times New Roman"/>
          <w:color w:val="222222"/>
          <w:sz w:val="24"/>
          <w:szCs w:val="24"/>
          <w:shd w:val="clear" w:color="auto" w:fill="FFFFFF"/>
        </w:rPr>
        <w:t>Cil</w:t>
      </w:r>
      <w:proofErr w:type="spellEnd"/>
      <w:r w:rsidRPr="008B399F">
        <w:rPr>
          <w:rFonts w:ascii="Times New Roman" w:hAnsi="Times New Roman" w:cs="Times New Roman"/>
          <w:color w:val="222222"/>
          <w:sz w:val="24"/>
          <w:szCs w:val="24"/>
          <w:shd w:val="clear" w:color="auto" w:fill="FFFFFF"/>
        </w:rPr>
        <w:t xml:space="preserve">, A. B., &amp; </w:t>
      </w:r>
      <w:proofErr w:type="spellStart"/>
      <w:r w:rsidRPr="008B399F">
        <w:rPr>
          <w:rFonts w:ascii="Times New Roman" w:hAnsi="Times New Roman" w:cs="Times New Roman"/>
          <w:color w:val="222222"/>
          <w:sz w:val="24"/>
          <w:szCs w:val="24"/>
          <w:shd w:val="clear" w:color="auto" w:fill="FFFFFF"/>
        </w:rPr>
        <w:t>Dulger</w:t>
      </w:r>
      <w:proofErr w:type="spellEnd"/>
      <w:r w:rsidRPr="008B399F">
        <w:rPr>
          <w:rFonts w:ascii="Times New Roman" w:hAnsi="Times New Roman" w:cs="Times New Roman"/>
          <w:color w:val="222222"/>
          <w:sz w:val="24"/>
          <w:szCs w:val="24"/>
          <w:shd w:val="clear" w:color="auto" w:fill="FFFFFF"/>
        </w:rPr>
        <w:t xml:space="preserve">, F. (2018). Financial Constraints, Firm Characteristics and Exports: Evidence </w:t>
      </w:r>
      <w:r w:rsidR="00E13135">
        <w:rPr>
          <w:rFonts w:ascii="Times New Roman" w:hAnsi="Times New Roman" w:cs="Times New Roman"/>
          <w:color w:val="222222"/>
          <w:sz w:val="24"/>
          <w:szCs w:val="24"/>
          <w:shd w:val="clear" w:color="auto" w:fill="FFFFFF"/>
        </w:rPr>
        <w:tab/>
      </w:r>
      <w:r w:rsidRPr="008B399F">
        <w:rPr>
          <w:rFonts w:ascii="Times New Roman" w:hAnsi="Times New Roman" w:cs="Times New Roman"/>
          <w:color w:val="222222"/>
          <w:sz w:val="24"/>
          <w:szCs w:val="24"/>
          <w:shd w:val="clear" w:color="auto" w:fill="FFFFFF"/>
        </w:rPr>
        <w:t xml:space="preserve">from </w:t>
      </w:r>
      <w:r w:rsidRPr="008B399F">
        <w:rPr>
          <w:rFonts w:ascii="Times New Roman" w:hAnsi="Times New Roman" w:cs="Times New Roman"/>
          <w:color w:val="222222"/>
          <w:sz w:val="24"/>
          <w:szCs w:val="24"/>
          <w:shd w:val="clear" w:color="auto" w:fill="FFFFFF"/>
        </w:rPr>
        <w:tab/>
        <w:t>Turkish Manufacturing Firms. </w:t>
      </w:r>
      <w:r w:rsidRPr="008B399F">
        <w:rPr>
          <w:rFonts w:ascii="Times New Roman" w:hAnsi="Times New Roman" w:cs="Times New Roman"/>
          <w:i/>
          <w:iCs/>
          <w:color w:val="222222"/>
          <w:sz w:val="24"/>
          <w:szCs w:val="24"/>
          <w:shd w:val="clear" w:color="auto" w:fill="FFFFFF"/>
        </w:rPr>
        <w:t xml:space="preserve">International Journal of Economics and Financial </w:t>
      </w:r>
      <w:r w:rsidR="00E13135">
        <w:rPr>
          <w:rFonts w:ascii="Times New Roman" w:hAnsi="Times New Roman" w:cs="Times New Roman"/>
          <w:i/>
          <w:iCs/>
          <w:color w:val="222222"/>
          <w:sz w:val="24"/>
          <w:szCs w:val="24"/>
          <w:shd w:val="clear" w:color="auto" w:fill="FFFFFF"/>
        </w:rPr>
        <w:tab/>
      </w:r>
      <w:r w:rsidRPr="008B399F">
        <w:rPr>
          <w:rFonts w:ascii="Times New Roman" w:hAnsi="Times New Roman" w:cs="Times New Roman"/>
          <w:i/>
          <w:iCs/>
          <w:color w:val="222222"/>
          <w:sz w:val="24"/>
          <w:szCs w:val="24"/>
          <w:shd w:val="clear" w:color="auto" w:fill="FFFFFF"/>
        </w:rPr>
        <w:t>Issues</w:t>
      </w:r>
      <w:r w:rsidRPr="008B399F">
        <w:rPr>
          <w:rFonts w:ascii="Times New Roman" w:hAnsi="Times New Roman" w:cs="Times New Roman"/>
          <w:color w:val="222222"/>
          <w:sz w:val="24"/>
          <w:szCs w:val="24"/>
          <w:shd w:val="clear" w:color="auto" w:fill="FFFFFF"/>
        </w:rPr>
        <w:t>, </w:t>
      </w:r>
      <w:r w:rsidRPr="008B399F">
        <w:rPr>
          <w:rFonts w:ascii="Times New Roman" w:hAnsi="Times New Roman" w:cs="Times New Roman"/>
          <w:i/>
          <w:iCs/>
          <w:color w:val="222222"/>
          <w:sz w:val="24"/>
          <w:szCs w:val="24"/>
          <w:shd w:val="clear" w:color="auto" w:fill="FFFFFF"/>
        </w:rPr>
        <w:t>8</w:t>
      </w:r>
      <w:r w:rsidRPr="008B399F">
        <w:rPr>
          <w:rFonts w:ascii="Times New Roman" w:hAnsi="Times New Roman" w:cs="Times New Roman"/>
          <w:color w:val="222222"/>
          <w:sz w:val="24"/>
          <w:szCs w:val="24"/>
          <w:shd w:val="clear" w:color="auto" w:fill="FFFFFF"/>
        </w:rPr>
        <w:t>(1), 168.</w:t>
      </w:r>
    </w:p>
    <w:p w:rsidR="00A472AD" w:rsidRPr="008B399F" w:rsidRDefault="00A472AD" w:rsidP="00054300">
      <w:pPr>
        <w:autoSpaceDE w:val="0"/>
        <w:autoSpaceDN w:val="0"/>
        <w:adjustRightInd w:val="0"/>
        <w:spacing w:after="0" w:line="240" w:lineRule="auto"/>
        <w:jc w:val="both"/>
        <w:rPr>
          <w:rFonts w:ascii="Times New Roman" w:hAnsi="Times New Roman" w:cs="Times New Roman"/>
          <w:bCs/>
          <w:i/>
          <w:iCs/>
          <w:sz w:val="24"/>
          <w:szCs w:val="24"/>
        </w:rPr>
      </w:pPr>
      <w:proofErr w:type="spellStart"/>
      <w:r w:rsidRPr="008B399F">
        <w:rPr>
          <w:rFonts w:ascii="Times New Roman" w:hAnsi="Times New Roman" w:cs="Times New Roman"/>
          <w:bCs/>
          <w:sz w:val="24"/>
          <w:szCs w:val="24"/>
        </w:rPr>
        <w:t>Elechi</w:t>
      </w:r>
      <w:proofErr w:type="spellEnd"/>
      <w:r w:rsidRPr="008B399F">
        <w:rPr>
          <w:rFonts w:ascii="Times New Roman" w:hAnsi="Times New Roman" w:cs="Times New Roman"/>
          <w:bCs/>
          <w:sz w:val="24"/>
          <w:szCs w:val="24"/>
        </w:rPr>
        <w:t xml:space="preserve">, J. S., </w:t>
      </w:r>
      <w:proofErr w:type="spellStart"/>
      <w:r w:rsidRPr="008B399F">
        <w:rPr>
          <w:rFonts w:ascii="Times New Roman" w:hAnsi="Times New Roman" w:cs="Times New Roman"/>
          <w:bCs/>
          <w:sz w:val="24"/>
          <w:szCs w:val="24"/>
        </w:rPr>
        <w:t>Kasie</w:t>
      </w:r>
      <w:proofErr w:type="spellEnd"/>
      <w:r w:rsidRPr="008B399F">
        <w:rPr>
          <w:rFonts w:ascii="Times New Roman" w:hAnsi="Times New Roman" w:cs="Times New Roman"/>
          <w:bCs/>
          <w:sz w:val="24"/>
          <w:szCs w:val="24"/>
        </w:rPr>
        <w:t xml:space="preserve">, E. G. &amp; </w:t>
      </w:r>
      <w:proofErr w:type="spellStart"/>
      <w:r w:rsidRPr="008B399F">
        <w:rPr>
          <w:rFonts w:ascii="Times New Roman" w:hAnsi="Times New Roman" w:cs="Times New Roman"/>
          <w:bCs/>
          <w:sz w:val="24"/>
          <w:szCs w:val="24"/>
        </w:rPr>
        <w:t>Chijindu</w:t>
      </w:r>
      <w:proofErr w:type="spellEnd"/>
      <w:r w:rsidRPr="008B399F">
        <w:rPr>
          <w:rFonts w:ascii="Times New Roman" w:hAnsi="Times New Roman" w:cs="Times New Roman"/>
          <w:bCs/>
          <w:sz w:val="24"/>
          <w:szCs w:val="24"/>
        </w:rPr>
        <w:t xml:space="preserve">, A. A. (2016). The contribution of the Nigerian banks to the </w:t>
      </w:r>
      <w:r w:rsidRPr="008B399F">
        <w:rPr>
          <w:rFonts w:ascii="Times New Roman" w:hAnsi="Times New Roman" w:cs="Times New Roman"/>
          <w:bCs/>
          <w:sz w:val="24"/>
          <w:szCs w:val="24"/>
        </w:rPr>
        <w:tab/>
        <w:t xml:space="preserve">promotion of non-oil exports (1990-2013). </w:t>
      </w:r>
      <w:r w:rsidRPr="008B399F">
        <w:rPr>
          <w:rFonts w:ascii="Times New Roman" w:hAnsi="Times New Roman" w:cs="Times New Roman"/>
          <w:bCs/>
          <w:i/>
          <w:iCs/>
          <w:sz w:val="24"/>
          <w:szCs w:val="24"/>
        </w:rPr>
        <w:t xml:space="preserve">Asian Journal of Economics, Business and </w:t>
      </w:r>
      <w:r w:rsidRPr="008B399F">
        <w:rPr>
          <w:rFonts w:ascii="Times New Roman" w:hAnsi="Times New Roman" w:cs="Times New Roman"/>
          <w:bCs/>
          <w:i/>
          <w:iCs/>
          <w:sz w:val="24"/>
          <w:szCs w:val="24"/>
        </w:rPr>
        <w:tab/>
        <w:t>Accounting, vol. 1(1): 1-13.</w:t>
      </w:r>
    </w:p>
    <w:p w:rsidR="00A472AD" w:rsidRPr="008B399F" w:rsidRDefault="00A472AD" w:rsidP="00054300">
      <w:pPr>
        <w:autoSpaceDE w:val="0"/>
        <w:autoSpaceDN w:val="0"/>
        <w:adjustRightInd w:val="0"/>
        <w:spacing w:after="0" w:line="240" w:lineRule="auto"/>
        <w:jc w:val="both"/>
        <w:rPr>
          <w:rFonts w:ascii="Times New Roman" w:hAnsi="Times New Roman" w:cs="Times New Roman"/>
          <w:sz w:val="24"/>
          <w:szCs w:val="24"/>
        </w:rPr>
      </w:pPr>
      <w:proofErr w:type="spellStart"/>
      <w:r w:rsidRPr="008B399F">
        <w:rPr>
          <w:rFonts w:ascii="Times New Roman" w:hAnsi="Times New Roman" w:cs="Times New Roman"/>
          <w:sz w:val="24"/>
          <w:szCs w:val="24"/>
        </w:rPr>
        <w:t>Emerole</w:t>
      </w:r>
      <w:proofErr w:type="spellEnd"/>
      <w:r w:rsidRPr="008B399F">
        <w:rPr>
          <w:rFonts w:ascii="Times New Roman" w:hAnsi="Times New Roman" w:cs="Times New Roman"/>
          <w:sz w:val="24"/>
          <w:szCs w:val="24"/>
        </w:rPr>
        <w:t xml:space="preserve"> G. A. &amp; </w:t>
      </w:r>
      <w:proofErr w:type="spellStart"/>
      <w:r w:rsidRPr="008B399F">
        <w:rPr>
          <w:rFonts w:ascii="Times New Roman" w:hAnsi="Times New Roman" w:cs="Times New Roman"/>
          <w:sz w:val="24"/>
          <w:szCs w:val="24"/>
        </w:rPr>
        <w:t>Edeoga</w:t>
      </w:r>
      <w:proofErr w:type="spellEnd"/>
      <w:r w:rsidRPr="008B399F">
        <w:rPr>
          <w:rFonts w:ascii="Times New Roman" w:hAnsi="Times New Roman" w:cs="Times New Roman"/>
          <w:sz w:val="24"/>
          <w:szCs w:val="24"/>
        </w:rPr>
        <w:t xml:space="preserve">, G. (2013). Empirical analysis of the problems and prospects of </w:t>
      </w:r>
      <w:r w:rsidRPr="008B399F">
        <w:rPr>
          <w:rFonts w:ascii="Times New Roman" w:hAnsi="Times New Roman" w:cs="Times New Roman"/>
          <w:sz w:val="24"/>
          <w:szCs w:val="24"/>
        </w:rPr>
        <w:tab/>
        <w:t xml:space="preserve">export </w:t>
      </w:r>
      <w:r w:rsidRPr="008B399F">
        <w:rPr>
          <w:rFonts w:ascii="Times New Roman" w:hAnsi="Times New Roman" w:cs="Times New Roman"/>
          <w:sz w:val="24"/>
          <w:szCs w:val="24"/>
        </w:rPr>
        <w:tab/>
        <w:t xml:space="preserve">marketing of non-oil agricultural product in Nigeria. </w:t>
      </w:r>
      <w:r w:rsidRPr="008B399F">
        <w:rPr>
          <w:rFonts w:ascii="Times New Roman" w:hAnsi="Times New Roman" w:cs="Times New Roman"/>
          <w:i/>
          <w:sz w:val="24"/>
          <w:szCs w:val="24"/>
        </w:rPr>
        <w:t xml:space="preserve">European Journal of Business and </w:t>
      </w:r>
      <w:r w:rsidRPr="008B399F">
        <w:rPr>
          <w:rFonts w:ascii="Times New Roman" w:hAnsi="Times New Roman" w:cs="Times New Roman"/>
          <w:i/>
          <w:sz w:val="24"/>
          <w:szCs w:val="24"/>
        </w:rPr>
        <w:tab/>
        <w:t>Management</w:t>
      </w:r>
      <w:r w:rsidRPr="008B399F">
        <w:rPr>
          <w:rFonts w:ascii="Times New Roman" w:hAnsi="Times New Roman" w:cs="Times New Roman"/>
          <w:sz w:val="24"/>
          <w:szCs w:val="24"/>
        </w:rPr>
        <w:t>. 5(23):96-106.</w:t>
      </w:r>
    </w:p>
    <w:p w:rsidR="00A472AD" w:rsidRPr="008B399F" w:rsidRDefault="00A472AD" w:rsidP="00054300">
      <w:pPr>
        <w:autoSpaceDE w:val="0"/>
        <w:autoSpaceDN w:val="0"/>
        <w:adjustRightInd w:val="0"/>
        <w:spacing w:after="0" w:line="240" w:lineRule="auto"/>
        <w:jc w:val="both"/>
        <w:rPr>
          <w:rFonts w:ascii="Times New Roman" w:hAnsi="Times New Roman" w:cs="Times New Roman"/>
          <w:sz w:val="24"/>
          <w:szCs w:val="24"/>
        </w:rPr>
      </w:pPr>
      <w:proofErr w:type="spellStart"/>
      <w:r w:rsidRPr="008B399F">
        <w:rPr>
          <w:rFonts w:ascii="Times New Roman" w:hAnsi="Times New Roman" w:cs="Times New Roman"/>
          <w:color w:val="222222"/>
          <w:sz w:val="24"/>
          <w:szCs w:val="24"/>
          <w:shd w:val="clear" w:color="auto" w:fill="FFFFFF"/>
        </w:rPr>
        <w:t>Feenstra</w:t>
      </w:r>
      <w:proofErr w:type="spellEnd"/>
      <w:r w:rsidRPr="008B399F">
        <w:rPr>
          <w:rFonts w:ascii="Times New Roman" w:hAnsi="Times New Roman" w:cs="Times New Roman"/>
          <w:color w:val="222222"/>
          <w:sz w:val="24"/>
          <w:szCs w:val="24"/>
          <w:shd w:val="clear" w:color="auto" w:fill="FFFFFF"/>
        </w:rPr>
        <w:t xml:space="preserve">, R. C., Li, Z., &amp; Yu, M. (2014). Exports and credit constraints under incomplete </w:t>
      </w:r>
      <w:r w:rsidRPr="008B399F">
        <w:rPr>
          <w:rFonts w:ascii="Times New Roman" w:hAnsi="Times New Roman" w:cs="Times New Roman"/>
          <w:color w:val="222222"/>
          <w:sz w:val="24"/>
          <w:szCs w:val="24"/>
          <w:shd w:val="clear" w:color="auto" w:fill="FFFFFF"/>
        </w:rPr>
        <w:tab/>
        <w:t xml:space="preserve">information: </w:t>
      </w:r>
      <w:r w:rsidRPr="008B399F">
        <w:rPr>
          <w:rFonts w:ascii="Times New Roman" w:hAnsi="Times New Roman" w:cs="Times New Roman"/>
          <w:color w:val="222222"/>
          <w:sz w:val="24"/>
          <w:szCs w:val="24"/>
          <w:shd w:val="clear" w:color="auto" w:fill="FFFFFF"/>
        </w:rPr>
        <w:tab/>
        <w:t>Theory and evidence from China. </w:t>
      </w:r>
      <w:r w:rsidRPr="008B399F">
        <w:rPr>
          <w:rFonts w:ascii="Times New Roman" w:hAnsi="Times New Roman" w:cs="Times New Roman"/>
          <w:i/>
          <w:iCs/>
          <w:color w:val="222222"/>
          <w:sz w:val="24"/>
          <w:szCs w:val="24"/>
          <w:shd w:val="clear" w:color="auto" w:fill="FFFFFF"/>
        </w:rPr>
        <w:t xml:space="preserve">Review of Economics and </w:t>
      </w:r>
      <w:r w:rsidR="00E13135">
        <w:rPr>
          <w:rFonts w:ascii="Times New Roman" w:hAnsi="Times New Roman" w:cs="Times New Roman"/>
          <w:i/>
          <w:iCs/>
          <w:color w:val="222222"/>
          <w:sz w:val="24"/>
          <w:szCs w:val="24"/>
          <w:shd w:val="clear" w:color="auto" w:fill="FFFFFF"/>
        </w:rPr>
        <w:tab/>
      </w:r>
      <w:r w:rsidRPr="008B399F">
        <w:rPr>
          <w:rFonts w:ascii="Times New Roman" w:hAnsi="Times New Roman" w:cs="Times New Roman"/>
          <w:i/>
          <w:iCs/>
          <w:color w:val="222222"/>
          <w:sz w:val="24"/>
          <w:szCs w:val="24"/>
          <w:shd w:val="clear" w:color="auto" w:fill="FFFFFF"/>
        </w:rPr>
        <w:t>Statistics</w:t>
      </w:r>
      <w:r w:rsidRPr="008B399F">
        <w:rPr>
          <w:rFonts w:ascii="Times New Roman" w:hAnsi="Times New Roman" w:cs="Times New Roman"/>
          <w:color w:val="222222"/>
          <w:sz w:val="24"/>
          <w:szCs w:val="24"/>
          <w:shd w:val="clear" w:color="auto" w:fill="FFFFFF"/>
        </w:rPr>
        <w:t>, </w:t>
      </w:r>
      <w:r w:rsidRPr="008B399F">
        <w:rPr>
          <w:rFonts w:ascii="Times New Roman" w:hAnsi="Times New Roman" w:cs="Times New Roman"/>
          <w:i/>
          <w:iCs/>
          <w:color w:val="222222"/>
          <w:sz w:val="24"/>
          <w:szCs w:val="24"/>
          <w:shd w:val="clear" w:color="auto" w:fill="FFFFFF"/>
        </w:rPr>
        <w:t>96</w:t>
      </w:r>
      <w:r w:rsidRPr="008B399F">
        <w:rPr>
          <w:rFonts w:ascii="Times New Roman" w:hAnsi="Times New Roman" w:cs="Times New Roman"/>
          <w:color w:val="222222"/>
          <w:sz w:val="24"/>
          <w:szCs w:val="24"/>
          <w:shd w:val="clear" w:color="auto" w:fill="FFFFFF"/>
        </w:rPr>
        <w:t>(4), 729-744.</w:t>
      </w:r>
    </w:p>
    <w:p w:rsidR="00A472AD" w:rsidRPr="008B399F" w:rsidRDefault="00A472AD" w:rsidP="00054300">
      <w:pPr>
        <w:autoSpaceDE w:val="0"/>
        <w:autoSpaceDN w:val="0"/>
        <w:adjustRightInd w:val="0"/>
        <w:spacing w:after="0" w:line="240" w:lineRule="auto"/>
        <w:jc w:val="both"/>
        <w:rPr>
          <w:rFonts w:ascii="Times New Roman" w:hAnsi="Times New Roman" w:cs="Times New Roman"/>
          <w:sz w:val="24"/>
          <w:szCs w:val="24"/>
        </w:rPr>
      </w:pPr>
      <w:proofErr w:type="spellStart"/>
      <w:r w:rsidRPr="008B399F">
        <w:rPr>
          <w:rFonts w:ascii="Times New Roman" w:hAnsi="Times New Roman" w:cs="Times New Roman"/>
          <w:sz w:val="24"/>
          <w:szCs w:val="24"/>
        </w:rPr>
        <w:t>Felbermayr</w:t>
      </w:r>
      <w:proofErr w:type="spellEnd"/>
      <w:r w:rsidRPr="008B399F">
        <w:rPr>
          <w:rFonts w:ascii="Times New Roman" w:hAnsi="Times New Roman" w:cs="Times New Roman"/>
          <w:sz w:val="24"/>
          <w:szCs w:val="24"/>
        </w:rPr>
        <w:t xml:space="preserve">, Gabriel J.; </w:t>
      </w:r>
      <w:proofErr w:type="spellStart"/>
      <w:r w:rsidRPr="008B399F">
        <w:rPr>
          <w:rFonts w:ascii="Times New Roman" w:hAnsi="Times New Roman" w:cs="Times New Roman"/>
          <w:sz w:val="24"/>
          <w:szCs w:val="24"/>
        </w:rPr>
        <w:t>Yalcin</w:t>
      </w:r>
      <w:proofErr w:type="spellEnd"/>
      <w:r w:rsidRPr="008B399F">
        <w:rPr>
          <w:rFonts w:ascii="Times New Roman" w:hAnsi="Times New Roman" w:cs="Times New Roman"/>
          <w:sz w:val="24"/>
          <w:szCs w:val="24"/>
        </w:rPr>
        <w:t xml:space="preserve">, </w:t>
      </w:r>
      <w:proofErr w:type="spellStart"/>
      <w:r w:rsidRPr="008B399F">
        <w:rPr>
          <w:rFonts w:ascii="Times New Roman" w:hAnsi="Times New Roman" w:cs="Times New Roman"/>
          <w:sz w:val="24"/>
          <w:szCs w:val="24"/>
        </w:rPr>
        <w:t>Erdal</w:t>
      </w:r>
      <w:proofErr w:type="spellEnd"/>
      <w:r w:rsidRPr="008B399F">
        <w:rPr>
          <w:rFonts w:ascii="Times New Roman" w:hAnsi="Times New Roman" w:cs="Times New Roman"/>
          <w:sz w:val="24"/>
          <w:szCs w:val="24"/>
        </w:rPr>
        <w:t xml:space="preserve"> (2011): Export Credit Guarantees</w:t>
      </w:r>
      <w:r w:rsidRPr="008B399F">
        <w:rPr>
          <w:rFonts w:ascii="Times New Roman" w:hAnsi="Times New Roman" w:cs="Times New Roman"/>
          <w:sz w:val="24"/>
          <w:szCs w:val="24"/>
        </w:rPr>
        <w:br/>
      </w:r>
      <w:r w:rsidRPr="008B399F">
        <w:rPr>
          <w:rFonts w:ascii="Times New Roman" w:hAnsi="Times New Roman" w:cs="Times New Roman"/>
          <w:sz w:val="24"/>
          <w:szCs w:val="24"/>
        </w:rPr>
        <w:tab/>
        <w:t xml:space="preserve">and Export Performance: An Empirical Analysis for Germany, </w:t>
      </w:r>
      <w:proofErr w:type="spellStart"/>
      <w:proofErr w:type="gramStart"/>
      <w:r w:rsidRPr="008B399F">
        <w:rPr>
          <w:rFonts w:ascii="Times New Roman" w:hAnsi="Times New Roman" w:cs="Times New Roman"/>
          <w:sz w:val="24"/>
          <w:szCs w:val="24"/>
        </w:rPr>
        <w:t>ifo</w:t>
      </w:r>
      <w:proofErr w:type="spellEnd"/>
      <w:proofErr w:type="gramEnd"/>
      <w:r w:rsidRPr="008B399F">
        <w:rPr>
          <w:rFonts w:ascii="Times New Roman" w:hAnsi="Times New Roman" w:cs="Times New Roman"/>
          <w:sz w:val="24"/>
          <w:szCs w:val="24"/>
        </w:rPr>
        <w:t xml:space="preserve"> Working Paper, No. </w:t>
      </w:r>
      <w:r w:rsidR="00E13135">
        <w:rPr>
          <w:rFonts w:ascii="Times New Roman" w:hAnsi="Times New Roman" w:cs="Times New Roman"/>
          <w:sz w:val="24"/>
          <w:szCs w:val="24"/>
        </w:rPr>
        <w:lastRenderedPageBreak/>
        <w:tab/>
      </w:r>
      <w:r w:rsidRPr="008B399F">
        <w:rPr>
          <w:rFonts w:ascii="Times New Roman" w:hAnsi="Times New Roman" w:cs="Times New Roman"/>
          <w:sz w:val="24"/>
          <w:szCs w:val="24"/>
        </w:rPr>
        <w:t xml:space="preserve">116, </w:t>
      </w:r>
      <w:r w:rsidRPr="008B399F">
        <w:rPr>
          <w:rFonts w:ascii="Times New Roman" w:hAnsi="Times New Roman" w:cs="Times New Roman"/>
          <w:sz w:val="24"/>
          <w:szCs w:val="24"/>
        </w:rPr>
        <w:tab/>
      </w:r>
      <w:proofErr w:type="spellStart"/>
      <w:proofErr w:type="gramStart"/>
      <w:r w:rsidRPr="008B399F">
        <w:rPr>
          <w:rFonts w:ascii="Times New Roman" w:hAnsi="Times New Roman" w:cs="Times New Roman"/>
          <w:sz w:val="24"/>
          <w:szCs w:val="24"/>
        </w:rPr>
        <w:t>ifo</w:t>
      </w:r>
      <w:proofErr w:type="spellEnd"/>
      <w:proofErr w:type="gramEnd"/>
      <w:r w:rsidRPr="008B399F">
        <w:rPr>
          <w:rFonts w:ascii="Times New Roman" w:hAnsi="Times New Roman" w:cs="Times New Roman"/>
          <w:sz w:val="24"/>
          <w:szCs w:val="24"/>
        </w:rPr>
        <w:t xml:space="preserve"> Institute - Leibniz Institute for Economic Research at the University of Munich, </w:t>
      </w:r>
      <w:r w:rsidRPr="008B399F">
        <w:rPr>
          <w:rFonts w:ascii="Times New Roman" w:hAnsi="Times New Roman" w:cs="Times New Roman"/>
          <w:sz w:val="24"/>
          <w:szCs w:val="24"/>
        </w:rPr>
        <w:tab/>
        <w:t>Munich.</w:t>
      </w:r>
    </w:p>
    <w:p w:rsidR="00A472AD" w:rsidRDefault="00A472AD" w:rsidP="00054300">
      <w:pPr>
        <w:autoSpaceDE w:val="0"/>
        <w:autoSpaceDN w:val="0"/>
        <w:adjustRightInd w:val="0"/>
        <w:spacing w:after="0" w:line="240" w:lineRule="auto"/>
        <w:jc w:val="both"/>
        <w:rPr>
          <w:rFonts w:ascii="Times New Roman" w:hAnsi="Times New Roman" w:cs="Times New Roman"/>
          <w:sz w:val="24"/>
          <w:szCs w:val="24"/>
        </w:rPr>
      </w:pPr>
      <w:proofErr w:type="spellStart"/>
      <w:r w:rsidRPr="008B399F">
        <w:rPr>
          <w:rFonts w:ascii="Times New Roman" w:hAnsi="Times New Roman" w:cs="Times New Roman"/>
          <w:sz w:val="24"/>
          <w:szCs w:val="24"/>
        </w:rPr>
        <w:t>Ijaiya</w:t>
      </w:r>
      <w:proofErr w:type="spellEnd"/>
      <w:r w:rsidRPr="008B399F">
        <w:rPr>
          <w:rFonts w:ascii="Times New Roman" w:hAnsi="Times New Roman" w:cs="Times New Roman"/>
          <w:sz w:val="24"/>
          <w:szCs w:val="24"/>
        </w:rPr>
        <w:t xml:space="preserve">, M. A. (2003). Commercial Bank’s credit and non-oil export promotion in Nigeria. </w:t>
      </w:r>
      <w:r w:rsidRPr="008B399F">
        <w:rPr>
          <w:rFonts w:ascii="Times New Roman" w:hAnsi="Times New Roman" w:cs="Times New Roman"/>
          <w:sz w:val="24"/>
          <w:szCs w:val="24"/>
        </w:rPr>
        <w:tab/>
      </w:r>
      <w:r w:rsidRPr="008B399F">
        <w:rPr>
          <w:rFonts w:ascii="Times New Roman" w:hAnsi="Times New Roman" w:cs="Times New Roman"/>
          <w:i/>
          <w:sz w:val="24"/>
          <w:szCs w:val="24"/>
        </w:rPr>
        <w:t xml:space="preserve">Ilorin. </w:t>
      </w:r>
      <w:r w:rsidRPr="008B399F">
        <w:rPr>
          <w:rFonts w:ascii="Times New Roman" w:hAnsi="Times New Roman" w:cs="Times New Roman"/>
          <w:i/>
          <w:sz w:val="24"/>
          <w:szCs w:val="24"/>
        </w:rPr>
        <w:tab/>
        <w:t>Journal of Business and Social Sciences</w:t>
      </w:r>
      <w:r w:rsidRPr="008B399F">
        <w:rPr>
          <w:rFonts w:ascii="Times New Roman" w:hAnsi="Times New Roman" w:cs="Times New Roman"/>
          <w:sz w:val="24"/>
          <w:szCs w:val="24"/>
        </w:rPr>
        <w:t>. 8(1):98-110.</w:t>
      </w:r>
    </w:p>
    <w:p w:rsidR="009D6042" w:rsidRPr="008B399F" w:rsidRDefault="009D6042" w:rsidP="00054300">
      <w:pPr>
        <w:spacing w:after="0" w:line="240" w:lineRule="auto"/>
        <w:jc w:val="both"/>
        <w:rPr>
          <w:rFonts w:ascii="Times New Roman" w:hAnsi="Times New Roman" w:cs="Times New Roman"/>
          <w:sz w:val="24"/>
          <w:szCs w:val="24"/>
        </w:rPr>
      </w:pPr>
      <w:proofErr w:type="spellStart"/>
      <w:r w:rsidRPr="008F44D7">
        <w:rPr>
          <w:rFonts w:ascii="Times New Roman" w:hAnsi="Times New Roman" w:cs="Times New Roman"/>
          <w:sz w:val="24"/>
          <w:szCs w:val="24"/>
        </w:rPr>
        <w:t>Jalil</w:t>
      </w:r>
      <w:proofErr w:type="spellEnd"/>
      <w:r w:rsidRPr="008F44D7">
        <w:rPr>
          <w:rFonts w:ascii="Times New Roman" w:hAnsi="Times New Roman" w:cs="Times New Roman"/>
          <w:sz w:val="24"/>
          <w:szCs w:val="24"/>
        </w:rPr>
        <w:t xml:space="preserve">, A., Ma, Y., &amp; Naveed, A. (2008). The finance-fluctuation nexus: Further evidence from </w:t>
      </w:r>
      <w:r>
        <w:rPr>
          <w:rFonts w:ascii="Times New Roman" w:hAnsi="Times New Roman" w:cs="Times New Roman"/>
          <w:sz w:val="24"/>
          <w:szCs w:val="24"/>
        </w:rPr>
        <w:tab/>
      </w:r>
      <w:r w:rsidRPr="008F44D7">
        <w:rPr>
          <w:rFonts w:ascii="Times New Roman" w:hAnsi="Times New Roman" w:cs="Times New Roman"/>
          <w:sz w:val="24"/>
          <w:szCs w:val="24"/>
        </w:rPr>
        <w:t>Pakistan and China. International Research Journal of Finance and Economics.</w:t>
      </w:r>
    </w:p>
    <w:p w:rsidR="00A472AD" w:rsidRDefault="00A472AD" w:rsidP="00054300">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8B399F">
        <w:rPr>
          <w:rFonts w:ascii="Times New Roman" w:hAnsi="Times New Roman" w:cs="Times New Roman"/>
          <w:color w:val="222222"/>
          <w:sz w:val="24"/>
          <w:szCs w:val="24"/>
          <w:shd w:val="clear" w:color="auto" w:fill="FFFFFF"/>
        </w:rPr>
        <w:t xml:space="preserve">Kapoor, M., </w:t>
      </w:r>
      <w:proofErr w:type="spellStart"/>
      <w:r w:rsidRPr="008B399F">
        <w:rPr>
          <w:rFonts w:ascii="Times New Roman" w:hAnsi="Times New Roman" w:cs="Times New Roman"/>
          <w:color w:val="222222"/>
          <w:sz w:val="24"/>
          <w:szCs w:val="24"/>
          <w:shd w:val="clear" w:color="auto" w:fill="FFFFFF"/>
        </w:rPr>
        <w:t>Ranjan</w:t>
      </w:r>
      <w:proofErr w:type="spellEnd"/>
      <w:r w:rsidRPr="008B399F">
        <w:rPr>
          <w:rFonts w:ascii="Times New Roman" w:hAnsi="Times New Roman" w:cs="Times New Roman"/>
          <w:color w:val="222222"/>
          <w:sz w:val="24"/>
          <w:szCs w:val="24"/>
          <w:shd w:val="clear" w:color="auto" w:fill="FFFFFF"/>
        </w:rPr>
        <w:t xml:space="preserve">, P., &amp; </w:t>
      </w:r>
      <w:proofErr w:type="spellStart"/>
      <w:r w:rsidRPr="008B399F">
        <w:rPr>
          <w:rFonts w:ascii="Times New Roman" w:hAnsi="Times New Roman" w:cs="Times New Roman"/>
          <w:color w:val="222222"/>
          <w:sz w:val="24"/>
          <w:szCs w:val="24"/>
          <w:shd w:val="clear" w:color="auto" w:fill="FFFFFF"/>
        </w:rPr>
        <w:t>Raychaudhuri</w:t>
      </w:r>
      <w:proofErr w:type="spellEnd"/>
      <w:r w:rsidRPr="008B399F">
        <w:rPr>
          <w:rFonts w:ascii="Times New Roman" w:hAnsi="Times New Roman" w:cs="Times New Roman"/>
          <w:color w:val="222222"/>
          <w:sz w:val="24"/>
          <w:szCs w:val="24"/>
          <w:shd w:val="clear" w:color="auto" w:fill="FFFFFF"/>
        </w:rPr>
        <w:t xml:space="preserve">, J. (2017). The impact of credit constraints on exporting </w:t>
      </w:r>
      <w:r w:rsidR="00E13135">
        <w:rPr>
          <w:rFonts w:ascii="Times New Roman" w:hAnsi="Times New Roman" w:cs="Times New Roman"/>
          <w:color w:val="222222"/>
          <w:sz w:val="24"/>
          <w:szCs w:val="24"/>
          <w:shd w:val="clear" w:color="auto" w:fill="FFFFFF"/>
        </w:rPr>
        <w:tab/>
      </w:r>
      <w:r w:rsidRPr="008B399F">
        <w:rPr>
          <w:rFonts w:ascii="Times New Roman" w:hAnsi="Times New Roman" w:cs="Times New Roman"/>
          <w:color w:val="222222"/>
          <w:sz w:val="24"/>
          <w:szCs w:val="24"/>
          <w:shd w:val="clear" w:color="auto" w:fill="FFFFFF"/>
        </w:rPr>
        <w:t xml:space="preserve">firms: </w:t>
      </w:r>
      <w:r w:rsidRPr="008B399F">
        <w:rPr>
          <w:rFonts w:ascii="Times New Roman" w:hAnsi="Times New Roman" w:cs="Times New Roman"/>
          <w:color w:val="222222"/>
          <w:sz w:val="24"/>
          <w:szCs w:val="24"/>
          <w:shd w:val="clear" w:color="auto" w:fill="FFFFFF"/>
        </w:rPr>
        <w:tab/>
        <w:t>Evidence from the provision and subsequent removal of subsidised credit. </w:t>
      </w:r>
      <w:r w:rsidRPr="008B399F">
        <w:rPr>
          <w:rFonts w:ascii="Times New Roman" w:hAnsi="Times New Roman" w:cs="Times New Roman"/>
          <w:i/>
          <w:iCs/>
          <w:color w:val="222222"/>
          <w:sz w:val="24"/>
          <w:szCs w:val="24"/>
          <w:shd w:val="clear" w:color="auto" w:fill="FFFFFF"/>
        </w:rPr>
        <w:t xml:space="preserve">The </w:t>
      </w:r>
      <w:r w:rsidR="00E13135">
        <w:rPr>
          <w:rFonts w:ascii="Times New Roman" w:hAnsi="Times New Roman" w:cs="Times New Roman"/>
          <w:i/>
          <w:iCs/>
          <w:color w:val="222222"/>
          <w:sz w:val="24"/>
          <w:szCs w:val="24"/>
          <w:shd w:val="clear" w:color="auto" w:fill="FFFFFF"/>
        </w:rPr>
        <w:tab/>
      </w:r>
      <w:r w:rsidRPr="008B399F">
        <w:rPr>
          <w:rFonts w:ascii="Times New Roman" w:hAnsi="Times New Roman" w:cs="Times New Roman"/>
          <w:i/>
          <w:iCs/>
          <w:color w:val="222222"/>
          <w:sz w:val="24"/>
          <w:szCs w:val="24"/>
          <w:shd w:val="clear" w:color="auto" w:fill="FFFFFF"/>
        </w:rPr>
        <w:t xml:space="preserve">World </w:t>
      </w:r>
      <w:r w:rsidRPr="008B399F">
        <w:rPr>
          <w:rFonts w:ascii="Times New Roman" w:hAnsi="Times New Roman" w:cs="Times New Roman"/>
          <w:i/>
          <w:iCs/>
          <w:color w:val="222222"/>
          <w:sz w:val="24"/>
          <w:szCs w:val="24"/>
          <w:shd w:val="clear" w:color="auto" w:fill="FFFFFF"/>
        </w:rPr>
        <w:tab/>
        <w:t>Economy</w:t>
      </w:r>
      <w:r w:rsidRPr="008B399F">
        <w:rPr>
          <w:rFonts w:ascii="Times New Roman" w:hAnsi="Times New Roman" w:cs="Times New Roman"/>
          <w:color w:val="222222"/>
          <w:sz w:val="24"/>
          <w:szCs w:val="24"/>
          <w:shd w:val="clear" w:color="auto" w:fill="FFFFFF"/>
        </w:rPr>
        <w:t>, </w:t>
      </w:r>
      <w:r w:rsidRPr="008B399F">
        <w:rPr>
          <w:rFonts w:ascii="Times New Roman" w:hAnsi="Times New Roman" w:cs="Times New Roman"/>
          <w:i/>
          <w:iCs/>
          <w:color w:val="222222"/>
          <w:sz w:val="24"/>
          <w:szCs w:val="24"/>
          <w:shd w:val="clear" w:color="auto" w:fill="FFFFFF"/>
        </w:rPr>
        <w:t>40</w:t>
      </w:r>
      <w:r w:rsidRPr="008B399F">
        <w:rPr>
          <w:rFonts w:ascii="Times New Roman" w:hAnsi="Times New Roman" w:cs="Times New Roman"/>
          <w:color w:val="222222"/>
          <w:sz w:val="24"/>
          <w:szCs w:val="24"/>
          <w:shd w:val="clear" w:color="auto" w:fill="FFFFFF"/>
        </w:rPr>
        <w:t>(12), 2854-2874.</w:t>
      </w:r>
    </w:p>
    <w:p w:rsidR="009D6042" w:rsidRPr="009D6042" w:rsidRDefault="009D6042" w:rsidP="00054300">
      <w:pPr>
        <w:spacing w:after="0" w:line="240" w:lineRule="auto"/>
        <w:jc w:val="both"/>
        <w:rPr>
          <w:rFonts w:ascii="Times New Roman" w:hAnsi="Times New Roman" w:cs="Times New Roman"/>
          <w:color w:val="222222"/>
          <w:sz w:val="24"/>
          <w:szCs w:val="24"/>
          <w:shd w:val="clear" w:color="auto" w:fill="FFFFFF"/>
        </w:rPr>
      </w:pPr>
      <w:r w:rsidRPr="008F44D7">
        <w:rPr>
          <w:rFonts w:ascii="Times New Roman" w:hAnsi="Times New Roman" w:cs="Times New Roman"/>
          <w:color w:val="222222"/>
          <w:sz w:val="24"/>
          <w:szCs w:val="24"/>
          <w:shd w:val="clear" w:color="auto" w:fill="FFFFFF"/>
        </w:rPr>
        <w:t xml:space="preserve">Khan, M. A., </w:t>
      </w:r>
      <w:proofErr w:type="spellStart"/>
      <w:r w:rsidRPr="008F44D7">
        <w:rPr>
          <w:rFonts w:ascii="Times New Roman" w:hAnsi="Times New Roman" w:cs="Times New Roman"/>
          <w:color w:val="222222"/>
          <w:sz w:val="24"/>
          <w:szCs w:val="24"/>
          <w:shd w:val="clear" w:color="auto" w:fill="FFFFFF"/>
        </w:rPr>
        <w:t>Qayyum</w:t>
      </w:r>
      <w:proofErr w:type="spellEnd"/>
      <w:r w:rsidRPr="008F44D7">
        <w:rPr>
          <w:rFonts w:ascii="Times New Roman" w:hAnsi="Times New Roman" w:cs="Times New Roman"/>
          <w:color w:val="222222"/>
          <w:sz w:val="24"/>
          <w:szCs w:val="24"/>
          <w:shd w:val="clear" w:color="auto" w:fill="FFFFFF"/>
        </w:rPr>
        <w:t xml:space="preserve">, A., Sheikh, S. A., &amp; Siddique, O. (2005). Financial development and </w:t>
      </w:r>
      <w:r>
        <w:rPr>
          <w:rFonts w:ascii="Times New Roman" w:hAnsi="Times New Roman" w:cs="Times New Roman"/>
          <w:color w:val="222222"/>
          <w:sz w:val="24"/>
          <w:szCs w:val="24"/>
          <w:shd w:val="clear" w:color="auto" w:fill="FFFFFF"/>
        </w:rPr>
        <w:tab/>
      </w:r>
      <w:r w:rsidRPr="008F44D7">
        <w:rPr>
          <w:rFonts w:ascii="Times New Roman" w:hAnsi="Times New Roman" w:cs="Times New Roman"/>
          <w:color w:val="222222"/>
          <w:sz w:val="24"/>
          <w:szCs w:val="24"/>
          <w:shd w:val="clear" w:color="auto" w:fill="FFFFFF"/>
        </w:rPr>
        <w:t>economic growth: The case of Pakistan [with Comments]. </w:t>
      </w:r>
      <w:r w:rsidRPr="008F44D7">
        <w:rPr>
          <w:rFonts w:ascii="Times New Roman" w:hAnsi="Times New Roman" w:cs="Times New Roman"/>
          <w:i/>
          <w:iCs/>
          <w:color w:val="222222"/>
          <w:sz w:val="24"/>
          <w:szCs w:val="24"/>
          <w:shd w:val="clear" w:color="auto" w:fill="FFFFFF"/>
        </w:rPr>
        <w:t xml:space="preserve">The Pakistan development </w:t>
      </w:r>
      <w:r>
        <w:rPr>
          <w:rFonts w:ascii="Times New Roman" w:hAnsi="Times New Roman" w:cs="Times New Roman"/>
          <w:i/>
          <w:iCs/>
          <w:color w:val="222222"/>
          <w:sz w:val="24"/>
          <w:szCs w:val="24"/>
          <w:shd w:val="clear" w:color="auto" w:fill="FFFFFF"/>
        </w:rPr>
        <w:tab/>
      </w:r>
      <w:r w:rsidRPr="008F44D7">
        <w:rPr>
          <w:rFonts w:ascii="Times New Roman" w:hAnsi="Times New Roman" w:cs="Times New Roman"/>
          <w:i/>
          <w:iCs/>
          <w:color w:val="222222"/>
          <w:sz w:val="24"/>
          <w:szCs w:val="24"/>
          <w:shd w:val="clear" w:color="auto" w:fill="FFFFFF"/>
        </w:rPr>
        <w:t>review</w:t>
      </w:r>
      <w:r w:rsidRPr="008F44D7">
        <w:rPr>
          <w:rFonts w:ascii="Times New Roman" w:hAnsi="Times New Roman" w:cs="Times New Roman"/>
          <w:color w:val="222222"/>
          <w:sz w:val="24"/>
          <w:szCs w:val="24"/>
          <w:shd w:val="clear" w:color="auto" w:fill="FFFFFF"/>
        </w:rPr>
        <w:t>, 819-837.</w:t>
      </w:r>
    </w:p>
    <w:p w:rsidR="00A472AD" w:rsidRPr="008B399F" w:rsidRDefault="00A472AD" w:rsidP="00054300">
      <w:pPr>
        <w:spacing w:after="0" w:line="240" w:lineRule="auto"/>
        <w:jc w:val="both"/>
        <w:rPr>
          <w:rFonts w:ascii="Times New Roman" w:hAnsi="Times New Roman" w:cs="Times New Roman"/>
          <w:color w:val="222222"/>
          <w:sz w:val="24"/>
          <w:szCs w:val="24"/>
          <w:shd w:val="clear" w:color="auto" w:fill="FFFFFF"/>
        </w:rPr>
      </w:pPr>
      <w:r w:rsidRPr="008B399F">
        <w:rPr>
          <w:rFonts w:ascii="Times New Roman" w:hAnsi="Times New Roman" w:cs="Times New Roman"/>
          <w:color w:val="222222"/>
          <w:sz w:val="24"/>
          <w:szCs w:val="24"/>
          <w:shd w:val="clear" w:color="auto" w:fill="FFFFFF"/>
        </w:rPr>
        <w:t>Li, Z., &amp; Ye, H. (2021). Credit constraint and firm’s export mode choice. </w:t>
      </w:r>
      <w:r w:rsidRPr="008B399F">
        <w:rPr>
          <w:rFonts w:ascii="Times New Roman" w:hAnsi="Times New Roman" w:cs="Times New Roman"/>
          <w:i/>
          <w:iCs/>
          <w:color w:val="222222"/>
          <w:sz w:val="24"/>
          <w:szCs w:val="24"/>
          <w:shd w:val="clear" w:color="auto" w:fill="FFFFFF"/>
        </w:rPr>
        <w:t xml:space="preserve">China Economic </w:t>
      </w:r>
      <w:r w:rsidRPr="008B399F">
        <w:rPr>
          <w:rFonts w:ascii="Times New Roman" w:hAnsi="Times New Roman" w:cs="Times New Roman"/>
          <w:i/>
          <w:iCs/>
          <w:color w:val="222222"/>
          <w:sz w:val="24"/>
          <w:szCs w:val="24"/>
          <w:shd w:val="clear" w:color="auto" w:fill="FFFFFF"/>
        </w:rPr>
        <w:tab/>
        <w:t>Quarterly International</w:t>
      </w:r>
      <w:r w:rsidRPr="008B399F">
        <w:rPr>
          <w:rFonts w:ascii="Times New Roman" w:hAnsi="Times New Roman" w:cs="Times New Roman"/>
          <w:color w:val="222222"/>
          <w:sz w:val="24"/>
          <w:szCs w:val="24"/>
          <w:shd w:val="clear" w:color="auto" w:fill="FFFFFF"/>
        </w:rPr>
        <w:t>, </w:t>
      </w:r>
      <w:r w:rsidRPr="008B399F">
        <w:rPr>
          <w:rFonts w:ascii="Times New Roman" w:hAnsi="Times New Roman" w:cs="Times New Roman"/>
          <w:i/>
          <w:iCs/>
          <w:color w:val="222222"/>
          <w:sz w:val="24"/>
          <w:szCs w:val="24"/>
          <w:shd w:val="clear" w:color="auto" w:fill="FFFFFF"/>
        </w:rPr>
        <w:t>1</w:t>
      </w:r>
      <w:r w:rsidRPr="008B399F">
        <w:rPr>
          <w:rFonts w:ascii="Times New Roman" w:hAnsi="Times New Roman" w:cs="Times New Roman"/>
          <w:color w:val="222222"/>
          <w:sz w:val="24"/>
          <w:szCs w:val="24"/>
          <w:shd w:val="clear" w:color="auto" w:fill="FFFFFF"/>
        </w:rPr>
        <w:t>(1), 43-58.</w:t>
      </w:r>
    </w:p>
    <w:p w:rsidR="00A472AD" w:rsidRPr="008B399F" w:rsidRDefault="00A472AD" w:rsidP="00054300">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proofErr w:type="spellStart"/>
      <w:r w:rsidRPr="008B399F">
        <w:rPr>
          <w:rFonts w:ascii="Times New Roman" w:hAnsi="Times New Roman" w:cs="Times New Roman"/>
          <w:sz w:val="24"/>
          <w:szCs w:val="24"/>
        </w:rPr>
        <w:t>Mahadeva</w:t>
      </w:r>
      <w:proofErr w:type="spellEnd"/>
      <w:r w:rsidRPr="008B399F">
        <w:rPr>
          <w:rFonts w:ascii="Times New Roman" w:hAnsi="Times New Roman" w:cs="Times New Roman"/>
          <w:sz w:val="24"/>
          <w:szCs w:val="24"/>
        </w:rPr>
        <w:t xml:space="preserve">, L. and P. Robinson, 2014. Unit root testing to help model building. Handbooks in </w:t>
      </w:r>
      <w:r w:rsidR="00E13135">
        <w:rPr>
          <w:rFonts w:ascii="Times New Roman" w:hAnsi="Times New Roman" w:cs="Times New Roman"/>
          <w:sz w:val="24"/>
          <w:szCs w:val="24"/>
        </w:rPr>
        <w:tab/>
      </w:r>
      <w:r w:rsidRPr="008B399F">
        <w:rPr>
          <w:rFonts w:ascii="Times New Roman" w:hAnsi="Times New Roman" w:cs="Times New Roman"/>
          <w:sz w:val="24"/>
          <w:szCs w:val="24"/>
        </w:rPr>
        <w:t xml:space="preserve">Central Banking No. 22. Series editors: Andrew Blake and Gill Hammond issued by the </w:t>
      </w:r>
      <w:r w:rsidR="00E13135">
        <w:rPr>
          <w:rFonts w:ascii="Times New Roman" w:hAnsi="Times New Roman" w:cs="Times New Roman"/>
          <w:sz w:val="24"/>
          <w:szCs w:val="24"/>
        </w:rPr>
        <w:tab/>
      </w:r>
      <w:r w:rsidRPr="008B399F">
        <w:rPr>
          <w:rFonts w:ascii="Times New Roman" w:hAnsi="Times New Roman" w:cs="Times New Roman"/>
          <w:sz w:val="24"/>
          <w:szCs w:val="24"/>
        </w:rPr>
        <w:t>Centre for Central Banking Studies, Bank of England, London.</w:t>
      </w:r>
    </w:p>
    <w:p w:rsidR="00A472AD" w:rsidRPr="008B399F" w:rsidRDefault="00A472AD" w:rsidP="00054300">
      <w:pPr>
        <w:autoSpaceDE w:val="0"/>
        <w:autoSpaceDN w:val="0"/>
        <w:adjustRightInd w:val="0"/>
        <w:spacing w:after="0" w:line="240" w:lineRule="auto"/>
        <w:jc w:val="both"/>
        <w:rPr>
          <w:rFonts w:ascii="Times New Roman" w:hAnsi="Times New Roman" w:cs="Times New Roman"/>
          <w:sz w:val="24"/>
          <w:szCs w:val="24"/>
        </w:rPr>
      </w:pPr>
      <w:proofErr w:type="spellStart"/>
      <w:r w:rsidRPr="008B399F">
        <w:rPr>
          <w:rFonts w:ascii="Times New Roman" w:hAnsi="Times New Roman" w:cs="Times New Roman"/>
          <w:sz w:val="24"/>
          <w:szCs w:val="24"/>
        </w:rPr>
        <w:t>Mah</w:t>
      </w:r>
      <w:proofErr w:type="spellEnd"/>
      <w:r w:rsidRPr="008B399F">
        <w:rPr>
          <w:rFonts w:ascii="Times New Roman" w:hAnsi="Times New Roman" w:cs="Times New Roman"/>
          <w:sz w:val="24"/>
          <w:szCs w:val="24"/>
        </w:rPr>
        <w:t xml:space="preserve">, Jai S. (2003). The Export Insurance System and Export Supply of Britain. Economics </w:t>
      </w:r>
      <w:r w:rsidRPr="008B399F">
        <w:rPr>
          <w:rFonts w:ascii="Times New Roman" w:hAnsi="Times New Roman" w:cs="Times New Roman"/>
          <w:sz w:val="24"/>
          <w:szCs w:val="24"/>
        </w:rPr>
        <w:tab/>
        <w:t>Working Papers. 200344.</w:t>
      </w:r>
      <w:r w:rsidRPr="008B399F">
        <w:rPr>
          <w:rFonts w:ascii="Times New Roman" w:hAnsi="Times New Roman" w:cs="Times New Roman"/>
          <w:sz w:val="24"/>
          <w:szCs w:val="24"/>
        </w:rPr>
        <w:br/>
      </w:r>
      <w:r w:rsidRPr="008B399F">
        <w:rPr>
          <w:rStyle w:val="Hyperlink"/>
          <w:rFonts w:ascii="Times New Roman" w:hAnsi="Times New Roman" w:cs="Times New Roman"/>
          <w:sz w:val="24"/>
          <w:szCs w:val="24"/>
        </w:rPr>
        <w:tab/>
      </w:r>
      <w:hyperlink r:id="rId77" w:history="1">
        <w:r w:rsidRPr="008B399F">
          <w:rPr>
            <w:rStyle w:val="Hyperlink"/>
            <w:rFonts w:ascii="Times New Roman" w:hAnsi="Times New Roman" w:cs="Times New Roman"/>
            <w:sz w:val="24"/>
            <w:szCs w:val="24"/>
          </w:rPr>
          <w:t>https://opencommons.uconn.edu/econ_wpapers/200344</w:t>
        </w:r>
      </w:hyperlink>
    </w:p>
    <w:p w:rsidR="00A472AD" w:rsidRPr="008B399F" w:rsidRDefault="00A472AD" w:rsidP="00054300">
      <w:pPr>
        <w:autoSpaceDE w:val="0"/>
        <w:autoSpaceDN w:val="0"/>
        <w:adjustRightInd w:val="0"/>
        <w:spacing w:after="0" w:line="240" w:lineRule="auto"/>
        <w:jc w:val="both"/>
        <w:rPr>
          <w:rFonts w:ascii="Times New Roman" w:hAnsi="Times New Roman" w:cs="Times New Roman"/>
          <w:sz w:val="24"/>
          <w:szCs w:val="24"/>
        </w:rPr>
      </w:pPr>
      <w:proofErr w:type="spellStart"/>
      <w:r w:rsidRPr="008B399F">
        <w:rPr>
          <w:rFonts w:ascii="Times New Roman" w:hAnsi="Times New Roman" w:cs="Times New Roman"/>
          <w:color w:val="222222"/>
          <w:sz w:val="24"/>
          <w:szCs w:val="24"/>
          <w:shd w:val="clear" w:color="auto" w:fill="FFFFFF"/>
        </w:rPr>
        <w:t>Máñez</w:t>
      </w:r>
      <w:proofErr w:type="spellEnd"/>
      <w:r w:rsidRPr="008B399F">
        <w:rPr>
          <w:rFonts w:ascii="Times New Roman" w:hAnsi="Times New Roman" w:cs="Times New Roman"/>
          <w:color w:val="222222"/>
          <w:sz w:val="24"/>
          <w:szCs w:val="24"/>
          <w:shd w:val="clear" w:color="auto" w:fill="FFFFFF"/>
        </w:rPr>
        <w:t>, J. A., &amp; Vicente-</w:t>
      </w:r>
      <w:proofErr w:type="spellStart"/>
      <w:r w:rsidRPr="008B399F">
        <w:rPr>
          <w:rFonts w:ascii="Times New Roman" w:hAnsi="Times New Roman" w:cs="Times New Roman"/>
          <w:color w:val="222222"/>
          <w:sz w:val="24"/>
          <w:szCs w:val="24"/>
          <w:shd w:val="clear" w:color="auto" w:fill="FFFFFF"/>
        </w:rPr>
        <w:t>Chirivella</w:t>
      </w:r>
      <w:proofErr w:type="spellEnd"/>
      <w:r w:rsidRPr="008B399F">
        <w:rPr>
          <w:rFonts w:ascii="Times New Roman" w:hAnsi="Times New Roman" w:cs="Times New Roman"/>
          <w:color w:val="222222"/>
          <w:sz w:val="24"/>
          <w:szCs w:val="24"/>
          <w:shd w:val="clear" w:color="auto" w:fill="FFFFFF"/>
        </w:rPr>
        <w:t xml:space="preserve">, Ó. (2021). Exports of Spanish manufacturing firms and </w:t>
      </w:r>
      <w:r w:rsidRPr="008B399F">
        <w:rPr>
          <w:rFonts w:ascii="Times New Roman" w:hAnsi="Times New Roman" w:cs="Times New Roman"/>
          <w:color w:val="222222"/>
          <w:sz w:val="24"/>
          <w:szCs w:val="24"/>
          <w:shd w:val="clear" w:color="auto" w:fill="FFFFFF"/>
        </w:rPr>
        <w:tab/>
        <w:t>financial constraints. </w:t>
      </w:r>
      <w:r w:rsidRPr="008B399F">
        <w:rPr>
          <w:rFonts w:ascii="Times New Roman" w:hAnsi="Times New Roman" w:cs="Times New Roman"/>
          <w:i/>
          <w:iCs/>
          <w:color w:val="222222"/>
          <w:sz w:val="24"/>
          <w:szCs w:val="24"/>
          <w:shd w:val="clear" w:color="auto" w:fill="FFFFFF"/>
        </w:rPr>
        <w:t>BRQ Business Research Quarterly</w:t>
      </w:r>
      <w:r w:rsidRPr="008B399F">
        <w:rPr>
          <w:rFonts w:ascii="Times New Roman" w:hAnsi="Times New Roman" w:cs="Times New Roman"/>
          <w:color w:val="222222"/>
          <w:sz w:val="24"/>
          <w:szCs w:val="24"/>
          <w:shd w:val="clear" w:color="auto" w:fill="FFFFFF"/>
        </w:rPr>
        <w:t>, </w:t>
      </w:r>
      <w:r w:rsidRPr="008B399F">
        <w:rPr>
          <w:rFonts w:ascii="Times New Roman" w:hAnsi="Times New Roman" w:cs="Times New Roman"/>
          <w:i/>
          <w:iCs/>
          <w:color w:val="222222"/>
          <w:sz w:val="24"/>
          <w:szCs w:val="24"/>
          <w:shd w:val="clear" w:color="auto" w:fill="FFFFFF"/>
        </w:rPr>
        <w:t>24</w:t>
      </w:r>
      <w:r w:rsidRPr="008B399F">
        <w:rPr>
          <w:rFonts w:ascii="Times New Roman" w:hAnsi="Times New Roman" w:cs="Times New Roman"/>
          <w:color w:val="222222"/>
          <w:sz w:val="24"/>
          <w:szCs w:val="24"/>
          <w:shd w:val="clear" w:color="auto" w:fill="FFFFFF"/>
        </w:rPr>
        <w:t>(1), 53-90.</w:t>
      </w:r>
    </w:p>
    <w:p w:rsidR="00A472AD" w:rsidRPr="008B399F" w:rsidRDefault="00A472AD" w:rsidP="00054300">
      <w:pPr>
        <w:autoSpaceDE w:val="0"/>
        <w:autoSpaceDN w:val="0"/>
        <w:adjustRightInd w:val="0"/>
        <w:spacing w:after="0" w:line="240" w:lineRule="auto"/>
        <w:jc w:val="both"/>
        <w:rPr>
          <w:rFonts w:ascii="Times New Roman" w:hAnsi="Times New Roman" w:cs="Times New Roman"/>
          <w:sz w:val="24"/>
          <w:szCs w:val="24"/>
        </w:rPr>
      </w:pPr>
      <w:proofErr w:type="spellStart"/>
      <w:r w:rsidRPr="008B399F">
        <w:rPr>
          <w:rFonts w:ascii="Times New Roman" w:hAnsi="Times New Roman" w:cs="Times New Roman"/>
          <w:sz w:val="24"/>
          <w:szCs w:val="24"/>
        </w:rPr>
        <w:t>Manova</w:t>
      </w:r>
      <w:proofErr w:type="spellEnd"/>
      <w:r w:rsidRPr="008B399F">
        <w:rPr>
          <w:rFonts w:ascii="Times New Roman" w:hAnsi="Times New Roman" w:cs="Times New Roman"/>
          <w:sz w:val="24"/>
          <w:szCs w:val="24"/>
        </w:rPr>
        <w:t xml:space="preserve">, K. (2011). Credit constraints, heterogeneous firms, and international trade. </w:t>
      </w:r>
      <w:r w:rsidRPr="008B399F">
        <w:rPr>
          <w:rFonts w:ascii="Times New Roman" w:hAnsi="Times New Roman" w:cs="Times New Roman"/>
          <w:sz w:val="24"/>
          <w:szCs w:val="24"/>
        </w:rPr>
        <w:tab/>
        <w:t>Unpublished, Stanford University.</w:t>
      </w:r>
    </w:p>
    <w:p w:rsidR="00A472AD" w:rsidRPr="008B399F" w:rsidRDefault="00A472AD" w:rsidP="00054300">
      <w:pPr>
        <w:autoSpaceDE w:val="0"/>
        <w:autoSpaceDN w:val="0"/>
        <w:adjustRightInd w:val="0"/>
        <w:spacing w:after="0" w:line="240" w:lineRule="auto"/>
        <w:jc w:val="both"/>
        <w:rPr>
          <w:rFonts w:ascii="Times New Roman" w:hAnsi="Times New Roman" w:cs="Times New Roman"/>
          <w:bCs/>
          <w:i/>
          <w:iCs/>
          <w:sz w:val="24"/>
          <w:szCs w:val="24"/>
        </w:rPr>
      </w:pPr>
      <w:proofErr w:type="spellStart"/>
      <w:r w:rsidRPr="008B399F">
        <w:rPr>
          <w:rFonts w:ascii="Times New Roman" w:hAnsi="Times New Roman" w:cs="Times New Roman"/>
          <w:sz w:val="24"/>
          <w:szCs w:val="24"/>
        </w:rPr>
        <w:t>Manova</w:t>
      </w:r>
      <w:proofErr w:type="spellEnd"/>
      <w:r w:rsidRPr="008B399F">
        <w:rPr>
          <w:rFonts w:ascii="Times New Roman" w:hAnsi="Times New Roman" w:cs="Times New Roman"/>
          <w:sz w:val="24"/>
          <w:szCs w:val="24"/>
        </w:rPr>
        <w:t xml:space="preserve">, K., S.-J. Wei &amp; Zhang, Z. (2011), ‘Firm Exports and Multinational Activity under </w:t>
      </w:r>
      <w:r w:rsidRPr="008B399F">
        <w:rPr>
          <w:rFonts w:ascii="Times New Roman" w:hAnsi="Times New Roman" w:cs="Times New Roman"/>
          <w:sz w:val="24"/>
          <w:szCs w:val="24"/>
        </w:rPr>
        <w:tab/>
        <w:t xml:space="preserve">Credit Constraints’, National Bureau of Economic Research, Working Paper 16905 </w:t>
      </w:r>
      <w:r w:rsidRPr="008B399F">
        <w:rPr>
          <w:rFonts w:ascii="Times New Roman" w:hAnsi="Times New Roman" w:cs="Times New Roman"/>
          <w:sz w:val="24"/>
          <w:szCs w:val="24"/>
        </w:rPr>
        <w:tab/>
        <w:t>(</w:t>
      </w:r>
      <w:proofErr w:type="spellStart"/>
      <w:r w:rsidRPr="008B399F">
        <w:rPr>
          <w:rFonts w:ascii="Times New Roman" w:hAnsi="Times New Roman" w:cs="Times New Roman"/>
          <w:sz w:val="24"/>
          <w:szCs w:val="24"/>
        </w:rPr>
        <w:t>Wahington</w:t>
      </w:r>
      <w:proofErr w:type="spellEnd"/>
      <w:r w:rsidRPr="008B399F">
        <w:rPr>
          <w:rFonts w:ascii="Times New Roman" w:hAnsi="Times New Roman" w:cs="Times New Roman"/>
          <w:sz w:val="24"/>
          <w:szCs w:val="24"/>
        </w:rPr>
        <w:t>, DC: National Bureau of Economic Research).</w:t>
      </w:r>
    </w:p>
    <w:p w:rsidR="001417A3" w:rsidRPr="001417A3" w:rsidRDefault="001417A3" w:rsidP="00054300">
      <w:pPr>
        <w:spacing w:after="0" w:line="240" w:lineRule="auto"/>
        <w:jc w:val="both"/>
        <w:rPr>
          <w:rFonts w:ascii="Times New Roman" w:hAnsi="Times New Roman" w:cs="Times New Roman"/>
          <w:color w:val="222222"/>
          <w:sz w:val="24"/>
          <w:szCs w:val="24"/>
          <w:shd w:val="clear" w:color="auto" w:fill="FFFFFF"/>
        </w:rPr>
      </w:pPr>
      <w:r w:rsidRPr="008F44D7">
        <w:rPr>
          <w:rFonts w:ascii="Times New Roman" w:hAnsi="Times New Roman" w:cs="Times New Roman"/>
          <w:color w:val="222222"/>
          <w:sz w:val="24"/>
          <w:szCs w:val="24"/>
          <w:shd w:val="clear" w:color="auto" w:fill="FFFFFF"/>
        </w:rPr>
        <w:t>Medina-Smith, E. J. (2001). Is the export-led growth hypothesis valid for developing countries</w:t>
      </w:r>
      <w:proofErr w:type="gramStart"/>
      <w:r w:rsidRPr="008F44D7">
        <w:rPr>
          <w:rFonts w:ascii="Times New Roman" w:hAnsi="Times New Roman" w:cs="Times New Roman"/>
          <w:color w:val="222222"/>
          <w:sz w:val="24"/>
          <w:szCs w:val="24"/>
          <w:shd w:val="clear" w:color="auto" w:fill="FFFFFF"/>
        </w:rPr>
        <w:t>?:</w:t>
      </w:r>
      <w:proofErr w:type="gramEnd"/>
      <w:r w:rsidRPr="008F44D7">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b/>
      </w:r>
      <w:r w:rsidRPr="008F44D7">
        <w:rPr>
          <w:rFonts w:ascii="Times New Roman" w:hAnsi="Times New Roman" w:cs="Times New Roman"/>
          <w:color w:val="222222"/>
          <w:sz w:val="24"/>
          <w:szCs w:val="24"/>
          <w:shd w:val="clear" w:color="auto" w:fill="FFFFFF"/>
        </w:rPr>
        <w:t>a case study of Costa Rica.</w:t>
      </w:r>
    </w:p>
    <w:p w:rsidR="00A472AD" w:rsidRPr="008B399F" w:rsidRDefault="00A472AD" w:rsidP="00054300">
      <w:pPr>
        <w:autoSpaceDE w:val="0"/>
        <w:autoSpaceDN w:val="0"/>
        <w:adjustRightInd w:val="0"/>
        <w:spacing w:after="0" w:line="240" w:lineRule="auto"/>
        <w:jc w:val="both"/>
        <w:rPr>
          <w:rFonts w:ascii="Times New Roman" w:hAnsi="Times New Roman" w:cs="Times New Roman"/>
          <w:sz w:val="24"/>
          <w:szCs w:val="24"/>
        </w:rPr>
      </w:pPr>
      <w:proofErr w:type="spellStart"/>
      <w:r w:rsidRPr="008B399F">
        <w:rPr>
          <w:rFonts w:ascii="Times New Roman" w:hAnsi="Times New Roman" w:cs="Times New Roman"/>
          <w:sz w:val="24"/>
          <w:szCs w:val="24"/>
        </w:rPr>
        <w:t>Muûls</w:t>
      </w:r>
      <w:proofErr w:type="spellEnd"/>
      <w:r w:rsidRPr="008B399F">
        <w:rPr>
          <w:rFonts w:ascii="Times New Roman" w:hAnsi="Times New Roman" w:cs="Times New Roman"/>
          <w:sz w:val="24"/>
          <w:szCs w:val="24"/>
        </w:rPr>
        <w:t>, M. (2008). Exporters and credit constraints. A firm-level</w:t>
      </w:r>
      <w:r w:rsidRPr="008B399F">
        <w:rPr>
          <w:rFonts w:ascii="Times New Roman" w:hAnsi="Times New Roman" w:cs="Times New Roman"/>
          <w:sz w:val="24"/>
          <w:szCs w:val="24"/>
        </w:rPr>
        <w:br/>
      </w:r>
      <w:r w:rsidRPr="008B399F">
        <w:rPr>
          <w:rFonts w:ascii="Times New Roman" w:hAnsi="Times New Roman" w:cs="Times New Roman"/>
          <w:sz w:val="24"/>
          <w:szCs w:val="24"/>
        </w:rPr>
        <w:tab/>
        <w:t>approach, NBB Working Paper, No. 139, National Bank of Belgium, Brussels.</w:t>
      </w:r>
    </w:p>
    <w:p w:rsidR="00A472AD" w:rsidRPr="008B399F" w:rsidRDefault="00A472AD" w:rsidP="00054300">
      <w:pPr>
        <w:spacing w:after="0" w:line="240" w:lineRule="auto"/>
        <w:jc w:val="both"/>
        <w:rPr>
          <w:rFonts w:ascii="Times New Roman" w:hAnsi="Times New Roman" w:cs="Times New Roman"/>
          <w:color w:val="222222"/>
          <w:sz w:val="24"/>
          <w:szCs w:val="24"/>
          <w:shd w:val="clear" w:color="auto" w:fill="FFFFFF"/>
        </w:rPr>
      </w:pPr>
      <w:proofErr w:type="spellStart"/>
      <w:r w:rsidRPr="008B399F">
        <w:rPr>
          <w:rFonts w:ascii="Times New Roman" w:hAnsi="Times New Roman" w:cs="Times New Roman"/>
          <w:color w:val="222222"/>
          <w:sz w:val="24"/>
          <w:szCs w:val="24"/>
          <w:shd w:val="clear" w:color="auto" w:fill="FFFFFF"/>
        </w:rPr>
        <w:t>Muûls</w:t>
      </w:r>
      <w:proofErr w:type="spellEnd"/>
      <w:r w:rsidRPr="008B399F">
        <w:rPr>
          <w:rFonts w:ascii="Times New Roman" w:hAnsi="Times New Roman" w:cs="Times New Roman"/>
          <w:color w:val="222222"/>
          <w:sz w:val="24"/>
          <w:szCs w:val="24"/>
          <w:shd w:val="clear" w:color="auto" w:fill="FFFFFF"/>
        </w:rPr>
        <w:t>, M. (2015). Exporters, importers and credit constraints. </w:t>
      </w:r>
      <w:r w:rsidRPr="008B399F">
        <w:rPr>
          <w:rFonts w:ascii="Times New Roman" w:hAnsi="Times New Roman" w:cs="Times New Roman"/>
          <w:i/>
          <w:iCs/>
          <w:color w:val="222222"/>
          <w:sz w:val="24"/>
          <w:szCs w:val="24"/>
          <w:shd w:val="clear" w:color="auto" w:fill="FFFFFF"/>
        </w:rPr>
        <w:t xml:space="preserve">Journal of International </w:t>
      </w:r>
      <w:r w:rsidRPr="008B399F">
        <w:rPr>
          <w:rFonts w:ascii="Times New Roman" w:hAnsi="Times New Roman" w:cs="Times New Roman"/>
          <w:i/>
          <w:iCs/>
          <w:color w:val="222222"/>
          <w:sz w:val="24"/>
          <w:szCs w:val="24"/>
          <w:shd w:val="clear" w:color="auto" w:fill="FFFFFF"/>
        </w:rPr>
        <w:tab/>
        <w:t>Economics</w:t>
      </w:r>
      <w:r w:rsidRPr="008B399F">
        <w:rPr>
          <w:rFonts w:ascii="Times New Roman" w:hAnsi="Times New Roman" w:cs="Times New Roman"/>
          <w:color w:val="222222"/>
          <w:sz w:val="24"/>
          <w:szCs w:val="24"/>
          <w:shd w:val="clear" w:color="auto" w:fill="FFFFFF"/>
        </w:rPr>
        <w:t>, </w:t>
      </w:r>
      <w:r w:rsidRPr="008B399F">
        <w:rPr>
          <w:rFonts w:ascii="Times New Roman" w:hAnsi="Times New Roman" w:cs="Times New Roman"/>
          <w:i/>
          <w:iCs/>
          <w:color w:val="222222"/>
          <w:sz w:val="24"/>
          <w:szCs w:val="24"/>
          <w:shd w:val="clear" w:color="auto" w:fill="FFFFFF"/>
        </w:rPr>
        <w:t>95</w:t>
      </w:r>
      <w:r w:rsidRPr="008B399F">
        <w:rPr>
          <w:rFonts w:ascii="Times New Roman" w:hAnsi="Times New Roman" w:cs="Times New Roman"/>
          <w:color w:val="222222"/>
          <w:sz w:val="24"/>
          <w:szCs w:val="24"/>
          <w:shd w:val="clear" w:color="auto" w:fill="FFFFFF"/>
        </w:rPr>
        <w:t>(2), 333-343.</w:t>
      </w:r>
    </w:p>
    <w:p w:rsidR="00A472AD" w:rsidRPr="008B399F" w:rsidRDefault="00A472AD" w:rsidP="00054300">
      <w:pPr>
        <w:autoSpaceDE w:val="0"/>
        <w:autoSpaceDN w:val="0"/>
        <w:adjustRightInd w:val="0"/>
        <w:spacing w:after="0" w:line="240" w:lineRule="auto"/>
        <w:jc w:val="both"/>
        <w:rPr>
          <w:rFonts w:ascii="Times New Roman" w:hAnsi="Times New Roman" w:cs="Times New Roman"/>
          <w:sz w:val="24"/>
          <w:szCs w:val="24"/>
        </w:rPr>
      </w:pPr>
      <w:proofErr w:type="spellStart"/>
      <w:r w:rsidRPr="008B399F">
        <w:rPr>
          <w:rFonts w:ascii="Times New Roman" w:hAnsi="Times New Roman" w:cs="Times New Roman"/>
          <w:color w:val="222222"/>
          <w:sz w:val="24"/>
          <w:szCs w:val="24"/>
          <w:shd w:val="clear" w:color="auto" w:fill="FFFFFF"/>
        </w:rPr>
        <w:t>Ningi</w:t>
      </w:r>
      <w:proofErr w:type="spellEnd"/>
      <w:r w:rsidRPr="008B399F">
        <w:rPr>
          <w:rFonts w:ascii="Times New Roman" w:hAnsi="Times New Roman" w:cs="Times New Roman"/>
          <w:color w:val="222222"/>
          <w:sz w:val="24"/>
          <w:szCs w:val="24"/>
          <w:shd w:val="clear" w:color="auto" w:fill="FFFFFF"/>
        </w:rPr>
        <w:t>, S. I. (2013). An analysis of banks financing of non-oil exports in Nigeria. </w:t>
      </w:r>
      <w:r w:rsidRPr="008B399F">
        <w:rPr>
          <w:rFonts w:ascii="Times New Roman" w:hAnsi="Times New Roman" w:cs="Times New Roman"/>
          <w:i/>
          <w:iCs/>
          <w:color w:val="222222"/>
          <w:sz w:val="24"/>
          <w:szCs w:val="24"/>
          <w:shd w:val="clear" w:color="auto" w:fill="FFFFFF"/>
        </w:rPr>
        <w:t xml:space="preserve">American </w:t>
      </w:r>
      <w:r w:rsidR="00E13135">
        <w:rPr>
          <w:rFonts w:ascii="Times New Roman" w:hAnsi="Times New Roman" w:cs="Times New Roman"/>
          <w:i/>
          <w:iCs/>
          <w:color w:val="222222"/>
          <w:sz w:val="24"/>
          <w:szCs w:val="24"/>
          <w:shd w:val="clear" w:color="auto" w:fill="FFFFFF"/>
        </w:rPr>
        <w:tab/>
      </w:r>
      <w:r w:rsidRPr="008B399F">
        <w:rPr>
          <w:rFonts w:ascii="Times New Roman" w:hAnsi="Times New Roman" w:cs="Times New Roman"/>
          <w:i/>
          <w:iCs/>
          <w:color w:val="222222"/>
          <w:sz w:val="24"/>
          <w:szCs w:val="24"/>
          <w:shd w:val="clear" w:color="auto" w:fill="FFFFFF"/>
        </w:rPr>
        <w:t xml:space="preserve">International </w:t>
      </w:r>
      <w:r w:rsidRPr="008B399F">
        <w:rPr>
          <w:rFonts w:ascii="Times New Roman" w:hAnsi="Times New Roman" w:cs="Times New Roman"/>
          <w:i/>
          <w:iCs/>
          <w:color w:val="222222"/>
          <w:sz w:val="24"/>
          <w:szCs w:val="24"/>
          <w:shd w:val="clear" w:color="auto" w:fill="FFFFFF"/>
        </w:rPr>
        <w:tab/>
        <w:t>Journal of Contemporary Research</w:t>
      </w:r>
      <w:r w:rsidRPr="008B399F">
        <w:rPr>
          <w:rFonts w:ascii="Times New Roman" w:hAnsi="Times New Roman" w:cs="Times New Roman"/>
          <w:color w:val="222222"/>
          <w:sz w:val="24"/>
          <w:szCs w:val="24"/>
          <w:shd w:val="clear" w:color="auto" w:fill="FFFFFF"/>
        </w:rPr>
        <w:t>, </w:t>
      </w:r>
      <w:r w:rsidRPr="008B399F">
        <w:rPr>
          <w:rFonts w:ascii="Times New Roman" w:hAnsi="Times New Roman" w:cs="Times New Roman"/>
          <w:i/>
          <w:iCs/>
          <w:color w:val="222222"/>
          <w:sz w:val="24"/>
          <w:szCs w:val="24"/>
          <w:shd w:val="clear" w:color="auto" w:fill="FFFFFF"/>
        </w:rPr>
        <w:t>3</w:t>
      </w:r>
      <w:r w:rsidRPr="008B399F">
        <w:rPr>
          <w:rFonts w:ascii="Times New Roman" w:hAnsi="Times New Roman" w:cs="Times New Roman"/>
          <w:color w:val="222222"/>
          <w:sz w:val="24"/>
          <w:szCs w:val="24"/>
          <w:shd w:val="clear" w:color="auto" w:fill="FFFFFF"/>
        </w:rPr>
        <w:t>(1), 85-92.</w:t>
      </w:r>
    </w:p>
    <w:p w:rsidR="009D6042" w:rsidRPr="009D6042" w:rsidRDefault="009D6042" w:rsidP="00054300">
      <w:pPr>
        <w:spacing w:after="0" w:line="240" w:lineRule="auto"/>
        <w:jc w:val="both"/>
        <w:rPr>
          <w:rFonts w:ascii="Times New Roman" w:hAnsi="Times New Roman" w:cs="Times New Roman"/>
          <w:sz w:val="24"/>
          <w:szCs w:val="24"/>
        </w:rPr>
      </w:pPr>
      <w:proofErr w:type="spellStart"/>
      <w:r w:rsidRPr="008F44D7">
        <w:rPr>
          <w:rFonts w:ascii="Times New Roman" w:hAnsi="Times New Roman" w:cs="Times New Roman"/>
          <w:sz w:val="24"/>
          <w:szCs w:val="24"/>
        </w:rPr>
        <w:t>Nkwatoh</w:t>
      </w:r>
      <w:proofErr w:type="spellEnd"/>
      <w:r w:rsidRPr="008F44D7">
        <w:rPr>
          <w:rFonts w:ascii="Times New Roman" w:hAnsi="Times New Roman" w:cs="Times New Roman"/>
          <w:sz w:val="24"/>
          <w:szCs w:val="24"/>
        </w:rPr>
        <w:t xml:space="preserve">, L.S., 2014. Long-run effect of financial development on economic growth in Nigeria: </w:t>
      </w:r>
      <w:r>
        <w:rPr>
          <w:rFonts w:ascii="Times New Roman" w:hAnsi="Times New Roman" w:cs="Times New Roman"/>
          <w:sz w:val="24"/>
          <w:szCs w:val="24"/>
        </w:rPr>
        <w:tab/>
      </w:r>
      <w:r w:rsidRPr="008F44D7">
        <w:rPr>
          <w:rFonts w:ascii="Times New Roman" w:hAnsi="Times New Roman" w:cs="Times New Roman"/>
          <w:sz w:val="24"/>
          <w:szCs w:val="24"/>
        </w:rPr>
        <w:t xml:space="preserve">(1981- 2013). YOBE J. </w:t>
      </w:r>
      <w:proofErr w:type="spellStart"/>
      <w:r w:rsidRPr="008F44D7">
        <w:rPr>
          <w:rFonts w:ascii="Times New Roman" w:hAnsi="Times New Roman" w:cs="Times New Roman"/>
          <w:sz w:val="24"/>
          <w:szCs w:val="24"/>
        </w:rPr>
        <w:t>Econom</w:t>
      </w:r>
      <w:proofErr w:type="spellEnd"/>
      <w:r w:rsidRPr="008F44D7">
        <w:rPr>
          <w:rFonts w:ascii="Times New Roman" w:hAnsi="Times New Roman" w:cs="Times New Roman"/>
          <w:sz w:val="24"/>
          <w:szCs w:val="24"/>
        </w:rPr>
        <w:t>., 1: 79-95.</w:t>
      </w:r>
    </w:p>
    <w:p w:rsidR="00A472AD" w:rsidRPr="008B399F" w:rsidRDefault="00A472AD" w:rsidP="00054300">
      <w:pPr>
        <w:autoSpaceDE w:val="0"/>
        <w:autoSpaceDN w:val="0"/>
        <w:adjustRightInd w:val="0"/>
        <w:spacing w:after="0" w:line="240" w:lineRule="auto"/>
        <w:jc w:val="both"/>
        <w:rPr>
          <w:rFonts w:ascii="Times New Roman" w:hAnsi="Times New Roman" w:cs="Times New Roman"/>
          <w:sz w:val="24"/>
          <w:szCs w:val="24"/>
        </w:rPr>
      </w:pPr>
      <w:proofErr w:type="spellStart"/>
      <w:r w:rsidRPr="008B399F">
        <w:rPr>
          <w:rFonts w:ascii="Times New Roman" w:hAnsi="Times New Roman" w:cs="Times New Roman"/>
          <w:color w:val="222222"/>
          <w:sz w:val="24"/>
          <w:szCs w:val="24"/>
          <w:shd w:val="clear" w:color="auto" w:fill="FFFFFF"/>
        </w:rPr>
        <w:t>Nwogo</w:t>
      </w:r>
      <w:proofErr w:type="spellEnd"/>
      <w:r w:rsidRPr="008B399F">
        <w:rPr>
          <w:rFonts w:ascii="Times New Roman" w:hAnsi="Times New Roman" w:cs="Times New Roman"/>
          <w:color w:val="222222"/>
          <w:sz w:val="24"/>
          <w:szCs w:val="24"/>
          <w:shd w:val="clear" w:color="auto" w:fill="FFFFFF"/>
        </w:rPr>
        <w:t xml:space="preserve"> J. E. (2017). Impact of financial sector reforms on non-oil export growth in </w:t>
      </w:r>
      <w:r w:rsidR="00E13135">
        <w:rPr>
          <w:rFonts w:ascii="Times New Roman" w:hAnsi="Times New Roman" w:cs="Times New Roman"/>
          <w:color w:val="222222"/>
          <w:sz w:val="24"/>
          <w:szCs w:val="24"/>
          <w:shd w:val="clear" w:color="auto" w:fill="FFFFFF"/>
        </w:rPr>
        <w:tab/>
      </w:r>
      <w:r w:rsidRPr="008B399F">
        <w:rPr>
          <w:rFonts w:ascii="Times New Roman" w:hAnsi="Times New Roman" w:cs="Times New Roman"/>
          <w:color w:val="222222"/>
          <w:sz w:val="24"/>
          <w:szCs w:val="24"/>
          <w:shd w:val="clear" w:color="auto" w:fill="FFFFFF"/>
        </w:rPr>
        <w:t>Nigeria. </w:t>
      </w:r>
      <w:r w:rsidRPr="008B399F">
        <w:rPr>
          <w:rFonts w:ascii="Times New Roman" w:hAnsi="Times New Roman" w:cs="Times New Roman"/>
          <w:i/>
          <w:iCs/>
          <w:color w:val="222222"/>
          <w:sz w:val="24"/>
          <w:szCs w:val="24"/>
          <w:shd w:val="clear" w:color="auto" w:fill="FFFFFF"/>
        </w:rPr>
        <w:t xml:space="preserve">Journal on </w:t>
      </w:r>
      <w:r w:rsidRPr="008B399F">
        <w:rPr>
          <w:rFonts w:ascii="Times New Roman" w:hAnsi="Times New Roman" w:cs="Times New Roman"/>
          <w:i/>
          <w:iCs/>
          <w:color w:val="222222"/>
          <w:sz w:val="24"/>
          <w:szCs w:val="24"/>
          <w:shd w:val="clear" w:color="auto" w:fill="FFFFFF"/>
        </w:rPr>
        <w:tab/>
        <w:t>Banking Financial Services &amp; Insurance Research</w:t>
      </w:r>
      <w:r w:rsidRPr="008B399F">
        <w:rPr>
          <w:rFonts w:ascii="Times New Roman" w:hAnsi="Times New Roman" w:cs="Times New Roman"/>
          <w:color w:val="222222"/>
          <w:sz w:val="24"/>
          <w:szCs w:val="24"/>
          <w:shd w:val="clear" w:color="auto" w:fill="FFFFFF"/>
        </w:rPr>
        <w:t>, </w:t>
      </w:r>
      <w:r w:rsidRPr="008B399F">
        <w:rPr>
          <w:rFonts w:ascii="Times New Roman" w:hAnsi="Times New Roman" w:cs="Times New Roman"/>
          <w:i/>
          <w:iCs/>
          <w:color w:val="222222"/>
          <w:sz w:val="24"/>
          <w:szCs w:val="24"/>
          <w:shd w:val="clear" w:color="auto" w:fill="FFFFFF"/>
        </w:rPr>
        <w:t>7</w:t>
      </w:r>
      <w:r w:rsidRPr="008B399F">
        <w:rPr>
          <w:rFonts w:ascii="Times New Roman" w:hAnsi="Times New Roman" w:cs="Times New Roman"/>
          <w:color w:val="222222"/>
          <w:sz w:val="24"/>
          <w:szCs w:val="24"/>
          <w:shd w:val="clear" w:color="auto" w:fill="FFFFFF"/>
        </w:rPr>
        <w:t>(1).</w:t>
      </w:r>
    </w:p>
    <w:p w:rsidR="00A472AD" w:rsidRPr="008B399F" w:rsidRDefault="00A472AD" w:rsidP="00054300">
      <w:pPr>
        <w:autoSpaceDE w:val="0"/>
        <w:autoSpaceDN w:val="0"/>
        <w:adjustRightInd w:val="0"/>
        <w:spacing w:after="0" w:line="240" w:lineRule="auto"/>
        <w:jc w:val="both"/>
        <w:rPr>
          <w:rFonts w:ascii="Times New Roman" w:hAnsi="Times New Roman" w:cs="Times New Roman"/>
          <w:sz w:val="24"/>
          <w:szCs w:val="24"/>
        </w:rPr>
      </w:pPr>
      <w:proofErr w:type="spellStart"/>
      <w:r w:rsidRPr="008B399F">
        <w:rPr>
          <w:rFonts w:ascii="Times New Roman" w:hAnsi="Times New Roman" w:cs="Times New Roman"/>
          <w:sz w:val="24"/>
          <w:szCs w:val="24"/>
        </w:rPr>
        <w:t>Odularu</w:t>
      </w:r>
      <w:proofErr w:type="spellEnd"/>
      <w:r w:rsidRPr="008B399F">
        <w:rPr>
          <w:rFonts w:ascii="Times New Roman" w:hAnsi="Times New Roman" w:cs="Times New Roman"/>
          <w:sz w:val="24"/>
          <w:szCs w:val="24"/>
        </w:rPr>
        <w:t xml:space="preserve">, G. (2015). Nigeria –US Trade Relations in the Non-oil Sector. Accessed 25th July, </w:t>
      </w:r>
      <w:r w:rsidRPr="008B399F">
        <w:rPr>
          <w:rFonts w:ascii="Times New Roman" w:hAnsi="Times New Roman" w:cs="Times New Roman"/>
          <w:sz w:val="24"/>
          <w:szCs w:val="24"/>
        </w:rPr>
        <w:tab/>
        <w:t>2015.</w:t>
      </w:r>
      <w:r w:rsidR="00E13135">
        <w:rPr>
          <w:rFonts w:ascii="Times New Roman" w:hAnsi="Times New Roman" w:cs="Times New Roman"/>
          <w:sz w:val="24"/>
          <w:szCs w:val="24"/>
        </w:rPr>
        <w:t xml:space="preserve"> </w:t>
      </w:r>
      <w:r w:rsidRPr="008B399F">
        <w:rPr>
          <w:rFonts w:ascii="Times New Roman" w:hAnsi="Times New Roman" w:cs="Times New Roman"/>
          <w:sz w:val="24"/>
          <w:szCs w:val="24"/>
        </w:rPr>
        <w:tab/>
      </w:r>
      <w:proofErr w:type="spellStart"/>
      <w:r w:rsidRPr="008B399F">
        <w:rPr>
          <w:rFonts w:ascii="Times New Roman" w:hAnsi="Times New Roman" w:cs="Times New Roman"/>
          <w:sz w:val="24"/>
          <w:szCs w:val="24"/>
        </w:rPr>
        <w:t>Available:http</w:t>
      </w:r>
      <w:proofErr w:type="spellEnd"/>
      <w:r w:rsidRPr="008B399F">
        <w:rPr>
          <w:rFonts w:ascii="Times New Roman" w:hAnsi="Times New Roman" w:cs="Times New Roman"/>
          <w:sz w:val="24"/>
          <w:szCs w:val="24"/>
        </w:rPr>
        <w:t>://ssrn.com/abstract=1281585</w:t>
      </w:r>
    </w:p>
    <w:p w:rsidR="001417A3" w:rsidRPr="001417A3" w:rsidRDefault="001417A3" w:rsidP="00054300">
      <w:pPr>
        <w:spacing w:after="0" w:line="240" w:lineRule="auto"/>
        <w:jc w:val="both"/>
        <w:rPr>
          <w:rFonts w:ascii="Times New Roman" w:hAnsi="Times New Roman" w:cs="Times New Roman"/>
          <w:sz w:val="24"/>
          <w:szCs w:val="24"/>
        </w:rPr>
      </w:pPr>
      <w:proofErr w:type="spellStart"/>
      <w:r w:rsidRPr="008F44D7">
        <w:rPr>
          <w:rFonts w:ascii="Times New Roman" w:hAnsi="Times New Roman" w:cs="Times New Roman"/>
          <w:color w:val="222222"/>
          <w:sz w:val="24"/>
          <w:szCs w:val="24"/>
          <w:shd w:val="clear" w:color="auto" w:fill="FFFFFF"/>
        </w:rPr>
        <w:t>Okosodo</w:t>
      </w:r>
      <w:proofErr w:type="spellEnd"/>
      <w:r w:rsidRPr="008F44D7">
        <w:rPr>
          <w:rFonts w:ascii="Times New Roman" w:hAnsi="Times New Roman" w:cs="Times New Roman"/>
          <w:color w:val="222222"/>
          <w:sz w:val="24"/>
          <w:szCs w:val="24"/>
          <w:shd w:val="clear" w:color="auto" w:fill="FFFFFF"/>
        </w:rPr>
        <w:t xml:space="preserve">, L. A., &amp; </w:t>
      </w:r>
      <w:proofErr w:type="spellStart"/>
      <w:r w:rsidRPr="008F44D7">
        <w:rPr>
          <w:rFonts w:ascii="Times New Roman" w:hAnsi="Times New Roman" w:cs="Times New Roman"/>
          <w:color w:val="222222"/>
          <w:sz w:val="24"/>
          <w:szCs w:val="24"/>
          <w:shd w:val="clear" w:color="auto" w:fill="FFFFFF"/>
        </w:rPr>
        <w:t>Imoughele</w:t>
      </w:r>
      <w:proofErr w:type="spellEnd"/>
      <w:r w:rsidRPr="008F44D7">
        <w:rPr>
          <w:rFonts w:ascii="Times New Roman" w:hAnsi="Times New Roman" w:cs="Times New Roman"/>
          <w:color w:val="222222"/>
          <w:sz w:val="24"/>
          <w:szCs w:val="24"/>
          <w:shd w:val="clear" w:color="auto" w:fill="FFFFFF"/>
        </w:rPr>
        <w:t xml:space="preserve">, L. E. (2019). Deposit money bank credits and export performance </w:t>
      </w:r>
      <w:r>
        <w:rPr>
          <w:rFonts w:ascii="Times New Roman" w:hAnsi="Times New Roman" w:cs="Times New Roman"/>
          <w:color w:val="222222"/>
          <w:sz w:val="24"/>
          <w:szCs w:val="24"/>
          <w:shd w:val="clear" w:color="auto" w:fill="FFFFFF"/>
        </w:rPr>
        <w:tab/>
      </w:r>
      <w:r w:rsidRPr="008F44D7">
        <w:rPr>
          <w:rFonts w:ascii="Times New Roman" w:hAnsi="Times New Roman" w:cs="Times New Roman"/>
          <w:color w:val="222222"/>
          <w:sz w:val="24"/>
          <w:szCs w:val="24"/>
          <w:shd w:val="clear" w:color="auto" w:fill="FFFFFF"/>
        </w:rPr>
        <w:t>in Nigeria: an empirical analysis</w:t>
      </w:r>
      <w:r w:rsidRPr="008F44D7">
        <w:rPr>
          <w:rFonts w:ascii="Times New Roman" w:hAnsi="Times New Roman" w:cs="Times New Roman"/>
          <w:i/>
          <w:color w:val="222222"/>
          <w:sz w:val="24"/>
          <w:szCs w:val="24"/>
          <w:shd w:val="clear" w:color="auto" w:fill="FFFFFF"/>
        </w:rPr>
        <w:t xml:space="preserve">. </w:t>
      </w:r>
      <w:r w:rsidRPr="008F44D7">
        <w:rPr>
          <w:rFonts w:ascii="Times New Roman" w:hAnsi="Times New Roman" w:cs="Times New Roman"/>
          <w:i/>
          <w:sz w:val="24"/>
          <w:szCs w:val="24"/>
        </w:rPr>
        <w:t xml:space="preserve">International Journal of Economics, Commerce and </w:t>
      </w:r>
      <w:r>
        <w:rPr>
          <w:rFonts w:ascii="Times New Roman" w:hAnsi="Times New Roman" w:cs="Times New Roman"/>
          <w:i/>
          <w:sz w:val="24"/>
          <w:szCs w:val="24"/>
        </w:rPr>
        <w:tab/>
      </w:r>
      <w:r w:rsidRPr="008F44D7">
        <w:rPr>
          <w:rFonts w:ascii="Times New Roman" w:hAnsi="Times New Roman" w:cs="Times New Roman"/>
          <w:i/>
          <w:sz w:val="24"/>
          <w:szCs w:val="24"/>
        </w:rPr>
        <w:t>Management</w:t>
      </w:r>
      <w:r w:rsidRPr="008F44D7">
        <w:rPr>
          <w:rFonts w:ascii="Times New Roman" w:hAnsi="Times New Roman" w:cs="Times New Roman"/>
          <w:sz w:val="24"/>
          <w:szCs w:val="24"/>
        </w:rPr>
        <w:t>. Vol. VII, Issue 1, 112-135</w:t>
      </w:r>
    </w:p>
    <w:p w:rsidR="00A472AD" w:rsidRPr="008B399F" w:rsidRDefault="00A472AD" w:rsidP="00054300">
      <w:pPr>
        <w:pStyle w:val="Default"/>
        <w:jc w:val="both"/>
        <w:rPr>
          <w:rFonts w:ascii="Times New Roman" w:hAnsi="Times New Roman" w:cs="Times New Roman"/>
        </w:rPr>
      </w:pPr>
      <w:proofErr w:type="spellStart"/>
      <w:r w:rsidRPr="008B399F">
        <w:rPr>
          <w:rFonts w:ascii="Times New Roman" w:hAnsi="Times New Roman" w:cs="Times New Roman"/>
        </w:rPr>
        <w:lastRenderedPageBreak/>
        <w:t>Oramah</w:t>
      </w:r>
      <w:proofErr w:type="spellEnd"/>
      <w:r w:rsidRPr="008B399F">
        <w:rPr>
          <w:rFonts w:ascii="Times New Roman" w:hAnsi="Times New Roman" w:cs="Times New Roman"/>
        </w:rPr>
        <w:t xml:space="preserve">, B. O., </w:t>
      </w:r>
      <w:proofErr w:type="spellStart"/>
      <w:r w:rsidRPr="008B399F">
        <w:rPr>
          <w:rFonts w:ascii="Times New Roman" w:hAnsi="Times New Roman" w:cs="Times New Roman"/>
        </w:rPr>
        <w:t>Chukwurah</w:t>
      </w:r>
      <w:proofErr w:type="spellEnd"/>
      <w:r w:rsidRPr="008B399F">
        <w:rPr>
          <w:rFonts w:ascii="Times New Roman" w:hAnsi="Times New Roman" w:cs="Times New Roman"/>
        </w:rPr>
        <w:t xml:space="preserve">, O. &amp; </w:t>
      </w:r>
      <w:proofErr w:type="spellStart"/>
      <w:r w:rsidRPr="008B399F">
        <w:rPr>
          <w:rFonts w:ascii="Times New Roman" w:hAnsi="Times New Roman" w:cs="Times New Roman"/>
        </w:rPr>
        <w:t>Ojeifo</w:t>
      </w:r>
      <w:proofErr w:type="spellEnd"/>
      <w:r w:rsidRPr="008B399F">
        <w:rPr>
          <w:rFonts w:ascii="Times New Roman" w:hAnsi="Times New Roman" w:cs="Times New Roman"/>
        </w:rPr>
        <w:t xml:space="preserve">, O. (1995). Foundation on-oil export financing under </w:t>
      </w:r>
      <w:r w:rsidR="00E13135">
        <w:rPr>
          <w:rFonts w:ascii="Times New Roman" w:hAnsi="Times New Roman" w:cs="Times New Roman"/>
        </w:rPr>
        <w:tab/>
      </w:r>
      <w:r w:rsidRPr="008B399F">
        <w:rPr>
          <w:rFonts w:ascii="Times New Roman" w:hAnsi="Times New Roman" w:cs="Times New Roman"/>
        </w:rPr>
        <w:t>Nigeria’s structural adjustment programme: the role and performance of Nigerian export-</w:t>
      </w:r>
      <w:r w:rsidR="00E13135">
        <w:rPr>
          <w:rFonts w:ascii="Times New Roman" w:hAnsi="Times New Roman" w:cs="Times New Roman"/>
        </w:rPr>
        <w:tab/>
      </w:r>
      <w:r w:rsidRPr="008B399F">
        <w:rPr>
          <w:rFonts w:ascii="Times New Roman" w:hAnsi="Times New Roman" w:cs="Times New Roman"/>
        </w:rPr>
        <w:t xml:space="preserve">import bank. </w:t>
      </w:r>
      <w:r w:rsidRPr="008B399F">
        <w:rPr>
          <w:rFonts w:ascii="Times New Roman" w:hAnsi="Times New Roman" w:cs="Times New Roman"/>
        </w:rPr>
        <w:tab/>
      </w:r>
      <w:r w:rsidRPr="008B399F">
        <w:rPr>
          <w:rFonts w:ascii="Times New Roman" w:hAnsi="Times New Roman" w:cs="Times New Roman"/>
          <w:i/>
        </w:rPr>
        <w:t>African Review of Money Finance and Banking,</w:t>
      </w:r>
      <w:r w:rsidRPr="008B399F">
        <w:rPr>
          <w:rFonts w:ascii="Times New Roman" w:hAnsi="Times New Roman" w:cs="Times New Roman"/>
        </w:rPr>
        <w:t xml:space="preserve"> No. 1/2, 93-129.</w:t>
      </w:r>
    </w:p>
    <w:p w:rsidR="00A472AD" w:rsidRPr="008B399F" w:rsidRDefault="00A472AD" w:rsidP="00054300">
      <w:pPr>
        <w:autoSpaceDE w:val="0"/>
        <w:autoSpaceDN w:val="0"/>
        <w:adjustRightInd w:val="0"/>
        <w:spacing w:after="0" w:line="240" w:lineRule="auto"/>
        <w:jc w:val="both"/>
        <w:rPr>
          <w:rFonts w:ascii="Times New Roman" w:hAnsi="Times New Roman" w:cs="Times New Roman"/>
          <w:sz w:val="24"/>
          <w:szCs w:val="24"/>
        </w:rPr>
      </w:pPr>
      <w:proofErr w:type="spellStart"/>
      <w:r w:rsidRPr="008B399F">
        <w:rPr>
          <w:rFonts w:ascii="Times New Roman" w:hAnsi="Times New Roman" w:cs="Times New Roman"/>
          <w:color w:val="222222"/>
          <w:sz w:val="24"/>
          <w:szCs w:val="24"/>
          <w:shd w:val="clear" w:color="auto" w:fill="FFFFFF"/>
        </w:rPr>
        <w:t>Pesaran</w:t>
      </w:r>
      <w:proofErr w:type="spellEnd"/>
      <w:r w:rsidRPr="008B399F">
        <w:rPr>
          <w:rFonts w:ascii="Times New Roman" w:hAnsi="Times New Roman" w:cs="Times New Roman"/>
          <w:color w:val="222222"/>
          <w:sz w:val="24"/>
          <w:szCs w:val="24"/>
          <w:shd w:val="clear" w:color="auto" w:fill="FFFFFF"/>
        </w:rPr>
        <w:t xml:space="preserve">, M. H., Shin, Y., &amp; Smith, R. P. (1999). Pooled mean group estimation of dynamic </w:t>
      </w:r>
      <w:r w:rsidR="00E13135">
        <w:rPr>
          <w:rFonts w:ascii="Times New Roman" w:hAnsi="Times New Roman" w:cs="Times New Roman"/>
          <w:color w:val="222222"/>
          <w:sz w:val="24"/>
          <w:szCs w:val="24"/>
          <w:shd w:val="clear" w:color="auto" w:fill="FFFFFF"/>
        </w:rPr>
        <w:tab/>
      </w:r>
      <w:r w:rsidRPr="008B399F">
        <w:rPr>
          <w:rFonts w:ascii="Times New Roman" w:hAnsi="Times New Roman" w:cs="Times New Roman"/>
          <w:color w:val="222222"/>
          <w:sz w:val="24"/>
          <w:szCs w:val="24"/>
          <w:shd w:val="clear" w:color="auto" w:fill="FFFFFF"/>
        </w:rPr>
        <w:t>heterogeneous panels. </w:t>
      </w:r>
      <w:r w:rsidRPr="008B399F">
        <w:rPr>
          <w:rFonts w:ascii="Times New Roman" w:hAnsi="Times New Roman" w:cs="Times New Roman"/>
          <w:i/>
          <w:iCs/>
          <w:color w:val="222222"/>
          <w:sz w:val="24"/>
          <w:szCs w:val="24"/>
          <w:shd w:val="clear" w:color="auto" w:fill="FFFFFF"/>
        </w:rPr>
        <w:t>Journal of the American statistical Association</w:t>
      </w:r>
      <w:r w:rsidRPr="008B399F">
        <w:rPr>
          <w:rFonts w:ascii="Times New Roman" w:hAnsi="Times New Roman" w:cs="Times New Roman"/>
          <w:color w:val="222222"/>
          <w:sz w:val="24"/>
          <w:szCs w:val="24"/>
          <w:shd w:val="clear" w:color="auto" w:fill="FFFFFF"/>
        </w:rPr>
        <w:t>, </w:t>
      </w:r>
      <w:r w:rsidRPr="008B399F">
        <w:rPr>
          <w:rFonts w:ascii="Times New Roman" w:hAnsi="Times New Roman" w:cs="Times New Roman"/>
          <w:i/>
          <w:iCs/>
          <w:color w:val="222222"/>
          <w:sz w:val="24"/>
          <w:szCs w:val="24"/>
          <w:shd w:val="clear" w:color="auto" w:fill="FFFFFF"/>
        </w:rPr>
        <w:t>94</w:t>
      </w:r>
      <w:r w:rsidRPr="008B399F">
        <w:rPr>
          <w:rFonts w:ascii="Times New Roman" w:hAnsi="Times New Roman" w:cs="Times New Roman"/>
          <w:color w:val="222222"/>
          <w:sz w:val="24"/>
          <w:szCs w:val="24"/>
          <w:shd w:val="clear" w:color="auto" w:fill="FFFFFF"/>
        </w:rPr>
        <w:t>(446), 621-634.</w:t>
      </w:r>
    </w:p>
    <w:p w:rsidR="00A472AD" w:rsidRPr="008B399F" w:rsidRDefault="00A472AD" w:rsidP="00054300">
      <w:pPr>
        <w:autoSpaceDE w:val="0"/>
        <w:autoSpaceDN w:val="0"/>
        <w:adjustRightInd w:val="0"/>
        <w:spacing w:after="0" w:line="240" w:lineRule="auto"/>
        <w:jc w:val="both"/>
        <w:rPr>
          <w:rFonts w:ascii="Times New Roman" w:hAnsi="Times New Roman" w:cs="Times New Roman"/>
          <w:sz w:val="24"/>
          <w:szCs w:val="24"/>
        </w:rPr>
      </w:pPr>
      <w:proofErr w:type="spellStart"/>
      <w:r w:rsidRPr="008B399F">
        <w:rPr>
          <w:rFonts w:ascii="Times New Roman" w:hAnsi="Times New Roman" w:cs="Times New Roman"/>
          <w:sz w:val="24"/>
          <w:szCs w:val="24"/>
        </w:rPr>
        <w:t>Pesaran</w:t>
      </w:r>
      <w:proofErr w:type="spellEnd"/>
      <w:r w:rsidRPr="008B399F">
        <w:rPr>
          <w:rFonts w:ascii="Times New Roman" w:hAnsi="Times New Roman" w:cs="Times New Roman"/>
          <w:sz w:val="24"/>
          <w:szCs w:val="24"/>
        </w:rPr>
        <w:t xml:space="preserve">, M.H., Y. Shin and R.J. Smith (2001). Bounds testing approaches to the analysis of level </w:t>
      </w:r>
      <w:r w:rsidRPr="008B399F">
        <w:rPr>
          <w:rFonts w:ascii="Times New Roman" w:hAnsi="Times New Roman" w:cs="Times New Roman"/>
          <w:sz w:val="24"/>
          <w:szCs w:val="24"/>
        </w:rPr>
        <w:tab/>
        <w:t xml:space="preserve">relationships. J. Applied </w:t>
      </w:r>
      <w:proofErr w:type="spellStart"/>
      <w:proofErr w:type="gramStart"/>
      <w:r w:rsidRPr="008B399F">
        <w:rPr>
          <w:rFonts w:ascii="Times New Roman" w:hAnsi="Times New Roman" w:cs="Times New Roman"/>
          <w:sz w:val="24"/>
          <w:szCs w:val="24"/>
        </w:rPr>
        <w:t>Econom</w:t>
      </w:r>
      <w:proofErr w:type="spellEnd"/>
      <w:r w:rsidRPr="008B399F">
        <w:rPr>
          <w:rFonts w:ascii="Times New Roman" w:hAnsi="Times New Roman" w:cs="Times New Roman"/>
          <w:sz w:val="24"/>
          <w:szCs w:val="24"/>
        </w:rPr>
        <w:t>.,</w:t>
      </w:r>
      <w:proofErr w:type="gramEnd"/>
      <w:r w:rsidRPr="008B399F">
        <w:rPr>
          <w:rFonts w:ascii="Times New Roman" w:hAnsi="Times New Roman" w:cs="Times New Roman"/>
          <w:sz w:val="24"/>
          <w:szCs w:val="24"/>
        </w:rPr>
        <w:t xml:space="preserve"> 16: 289-326. DOI: 10.1002/jae.616</w:t>
      </w:r>
    </w:p>
    <w:p w:rsidR="00A472AD" w:rsidRPr="008B399F" w:rsidRDefault="00A472AD" w:rsidP="00054300">
      <w:pPr>
        <w:spacing w:after="0" w:line="240" w:lineRule="auto"/>
        <w:jc w:val="both"/>
        <w:rPr>
          <w:rStyle w:val="markedcontent"/>
          <w:rFonts w:ascii="Times New Roman" w:hAnsi="Times New Roman" w:cs="Times New Roman"/>
          <w:sz w:val="24"/>
          <w:szCs w:val="24"/>
        </w:rPr>
      </w:pPr>
      <w:r w:rsidRPr="008B399F">
        <w:rPr>
          <w:rFonts w:ascii="Times New Roman" w:hAnsi="Times New Roman" w:cs="Times New Roman"/>
          <w:sz w:val="24"/>
          <w:szCs w:val="24"/>
          <w:shd w:val="clear" w:color="auto" w:fill="FFFFFF"/>
        </w:rPr>
        <w:t xml:space="preserve">Phan, T. H., </w:t>
      </w:r>
      <w:proofErr w:type="spellStart"/>
      <w:r w:rsidRPr="008B399F">
        <w:rPr>
          <w:rFonts w:ascii="Times New Roman" w:hAnsi="Times New Roman" w:cs="Times New Roman"/>
          <w:sz w:val="24"/>
          <w:szCs w:val="24"/>
          <w:shd w:val="clear" w:color="auto" w:fill="FFFFFF"/>
        </w:rPr>
        <w:t>Stachuletz</w:t>
      </w:r>
      <w:proofErr w:type="spellEnd"/>
      <w:r w:rsidRPr="008B399F">
        <w:rPr>
          <w:rFonts w:ascii="Times New Roman" w:hAnsi="Times New Roman" w:cs="Times New Roman"/>
          <w:sz w:val="24"/>
          <w:szCs w:val="24"/>
          <w:shd w:val="clear" w:color="auto" w:fill="FFFFFF"/>
        </w:rPr>
        <w:t xml:space="preserve">, R., &amp; Nguyen, H. T. H. (2022). Export Decision and Credit Constraints </w:t>
      </w:r>
      <w:r w:rsidRPr="008B399F">
        <w:rPr>
          <w:rFonts w:ascii="Times New Roman" w:hAnsi="Times New Roman" w:cs="Times New Roman"/>
          <w:sz w:val="24"/>
          <w:szCs w:val="24"/>
          <w:shd w:val="clear" w:color="auto" w:fill="FFFFFF"/>
        </w:rPr>
        <w:tab/>
        <w:t>under Institution Obstacles. </w:t>
      </w:r>
      <w:r w:rsidRPr="008B399F">
        <w:rPr>
          <w:rFonts w:ascii="Times New Roman" w:hAnsi="Times New Roman" w:cs="Times New Roman"/>
          <w:i/>
          <w:iCs/>
          <w:sz w:val="24"/>
          <w:szCs w:val="24"/>
          <w:shd w:val="clear" w:color="auto" w:fill="FFFFFF"/>
        </w:rPr>
        <w:t>Sustainability</w:t>
      </w:r>
      <w:r w:rsidRPr="008B399F">
        <w:rPr>
          <w:rFonts w:ascii="Times New Roman" w:hAnsi="Times New Roman" w:cs="Times New Roman"/>
          <w:sz w:val="24"/>
          <w:szCs w:val="24"/>
          <w:shd w:val="clear" w:color="auto" w:fill="FFFFFF"/>
        </w:rPr>
        <w:t>, </w:t>
      </w:r>
      <w:r w:rsidRPr="008B399F">
        <w:rPr>
          <w:rFonts w:ascii="Times New Roman" w:hAnsi="Times New Roman" w:cs="Times New Roman"/>
          <w:i/>
          <w:iCs/>
          <w:sz w:val="24"/>
          <w:szCs w:val="24"/>
          <w:shd w:val="clear" w:color="auto" w:fill="FFFFFF"/>
        </w:rPr>
        <w:t>14</w:t>
      </w:r>
      <w:r w:rsidRPr="008B399F">
        <w:rPr>
          <w:rFonts w:ascii="Times New Roman" w:hAnsi="Times New Roman" w:cs="Times New Roman"/>
          <w:sz w:val="24"/>
          <w:szCs w:val="24"/>
          <w:shd w:val="clear" w:color="auto" w:fill="FFFFFF"/>
        </w:rPr>
        <w:t>(9), 5638.</w:t>
      </w:r>
    </w:p>
    <w:p w:rsidR="00A472AD" w:rsidRPr="008B399F" w:rsidRDefault="00A472AD" w:rsidP="00054300">
      <w:pPr>
        <w:spacing w:after="0" w:line="240" w:lineRule="auto"/>
        <w:jc w:val="both"/>
        <w:rPr>
          <w:rStyle w:val="markedcontent"/>
          <w:rFonts w:ascii="Times New Roman" w:hAnsi="Times New Roman" w:cs="Times New Roman"/>
          <w:color w:val="222222"/>
          <w:sz w:val="24"/>
          <w:szCs w:val="24"/>
          <w:shd w:val="clear" w:color="auto" w:fill="FFFFFF"/>
        </w:rPr>
      </w:pPr>
      <w:proofErr w:type="spellStart"/>
      <w:r w:rsidRPr="008B399F">
        <w:rPr>
          <w:rFonts w:ascii="Times New Roman" w:hAnsi="Times New Roman" w:cs="Times New Roman"/>
          <w:color w:val="222222"/>
          <w:sz w:val="24"/>
          <w:szCs w:val="24"/>
          <w:shd w:val="clear" w:color="auto" w:fill="FFFFFF"/>
        </w:rPr>
        <w:t>Pietrovito</w:t>
      </w:r>
      <w:proofErr w:type="spellEnd"/>
      <w:r w:rsidRPr="008B399F">
        <w:rPr>
          <w:rFonts w:ascii="Times New Roman" w:hAnsi="Times New Roman" w:cs="Times New Roman"/>
          <w:color w:val="222222"/>
          <w:sz w:val="24"/>
          <w:szCs w:val="24"/>
          <w:shd w:val="clear" w:color="auto" w:fill="FFFFFF"/>
        </w:rPr>
        <w:t xml:space="preserve">, F., &amp; </w:t>
      </w:r>
      <w:proofErr w:type="spellStart"/>
      <w:r w:rsidRPr="008B399F">
        <w:rPr>
          <w:rFonts w:ascii="Times New Roman" w:hAnsi="Times New Roman" w:cs="Times New Roman"/>
          <w:color w:val="222222"/>
          <w:sz w:val="24"/>
          <w:szCs w:val="24"/>
          <w:shd w:val="clear" w:color="auto" w:fill="FFFFFF"/>
        </w:rPr>
        <w:t>Pozzolo</w:t>
      </w:r>
      <w:proofErr w:type="spellEnd"/>
      <w:r w:rsidRPr="008B399F">
        <w:rPr>
          <w:rFonts w:ascii="Times New Roman" w:hAnsi="Times New Roman" w:cs="Times New Roman"/>
          <w:color w:val="222222"/>
          <w:sz w:val="24"/>
          <w:szCs w:val="24"/>
          <w:shd w:val="clear" w:color="auto" w:fill="FFFFFF"/>
        </w:rPr>
        <w:t xml:space="preserve">, A. F. (2021). Credit constraints and exports of SMEs in emerging and </w:t>
      </w:r>
      <w:r w:rsidRPr="008B399F">
        <w:rPr>
          <w:rFonts w:ascii="Times New Roman" w:hAnsi="Times New Roman" w:cs="Times New Roman"/>
          <w:color w:val="222222"/>
          <w:sz w:val="24"/>
          <w:szCs w:val="24"/>
          <w:shd w:val="clear" w:color="auto" w:fill="FFFFFF"/>
        </w:rPr>
        <w:tab/>
        <w:t>developing countries. </w:t>
      </w:r>
      <w:r w:rsidRPr="008B399F">
        <w:rPr>
          <w:rFonts w:ascii="Times New Roman" w:hAnsi="Times New Roman" w:cs="Times New Roman"/>
          <w:i/>
          <w:iCs/>
          <w:color w:val="222222"/>
          <w:sz w:val="24"/>
          <w:szCs w:val="24"/>
          <w:shd w:val="clear" w:color="auto" w:fill="FFFFFF"/>
        </w:rPr>
        <w:t>Small Business Economics</w:t>
      </w:r>
      <w:r w:rsidRPr="008B399F">
        <w:rPr>
          <w:rFonts w:ascii="Times New Roman" w:hAnsi="Times New Roman" w:cs="Times New Roman"/>
          <w:color w:val="222222"/>
          <w:sz w:val="24"/>
          <w:szCs w:val="24"/>
          <w:shd w:val="clear" w:color="auto" w:fill="FFFFFF"/>
        </w:rPr>
        <w:t>, </w:t>
      </w:r>
      <w:r w:rsidRPr="008B399F">
        <w:rPr>
          <w:rFonts w:ascii="Times New Roman" w:hAnsi="Times New Roman" w:cs="Times New Roman"/>
          <w:i/>
          <w:iCs/>
          <w:color w:val="222222"/>
          <w:sz w:val="24"/>
          <w:szCs w:val="24"/>
          <w:shd w:val="clear" w:color="auto" w:fill="FFFFFF"/>
        </w:rPr>
        <w:t>56</w:t>
      </w:r>
      <w:r w:rsidRPr="008B399F">
        <w:rPr>
          <w:rFonts w:ascii="Times New Roman" w:hAnsi="Times New Roman" w:cs="Times New Roman"/>
          <w:color w:val="222222"/>
          <w:sz w:val="24"/>
          <w:szCs w:val="24"/>
          <w:shd w:val="clear" w:color="auto" w:fill="FFFFFF"/>
        </w:rPr>
        <w:t>(1), 311-332.</w:t>
      </w:r>
    </w:p>
    <w:p w:rsidR="00A472AD" w:rsidRPr="008B399F" w:rsidRDefault="00A472AD" w:rsidP="00054300">
      <w:pPr>
        <w:autoSpaceDE w:val="0"/>
        <w:autoSpaceDN w:val="0"/>
        <w:adjustRightInd w:val="0"/>
        <w:spacing w:after="0" w:line="240" w:lineRule="auto"/>
        <w:jc w:val="both"/>
        <w:rPr>
          <w:rFonts w:ascii="Times New Roman" w:hAnsi="Times New Roman" w:cs="Times New Roman"/>
          <w:sz w:val="24"/>
          <w:szCs w:val="24"/>
        </w:rPr>
      </w:pPr>
      <w:proofErr w:type="spellStart"/>
      <w:r w:rsidRPr="008B399F">
        <w:rPr>
          <w:rStyle w:val="markedcontent"/>
          <w:rFonts w:ascii="Times New Roman" w:hAnsi="Times New Roman" w:cs="Times New Roman"/>
          <w:sz w:val="24"/>
          <w:szCs w:val="24"/>
        </w:rPr>
        <w:t>Polat</w:t>
      </w:r>
      <w:proofErr w:type="spellEnd"/>
      <w:r w:rsidRPr="008B399F">
        <w:rPr>
          <w:rStyle w:val="markedcontent"/>
          <w:rFonts w:ascii="Times New Roman" w:hAnsi="Times New Roman" w:cs="Times New Roman"/>
          <w:sz w:val="24"/>
          <w:szCs w:val="24"/>
        </w:rPr>
        <w:t xml:space="preserve">, A., and </w:t>
      </w:r>
      <w:proofErr w:type="spellStart"/>
      <w:r w:rsidRPr="008B399F">
        <w:rPr>
          <w:rStyle w:val="markedcontent"/>
          <w:rFonts w:ascii="Times New Roman" w:hAnsi="Times New Roman" w:cs="Times New Roman"/>
          <w:sz w:val="24"/>
          <w:szCs w:val="24"/>
        </w:rPr>
        <w:t>Yeşilyapra</w:t>
      </w:r>
      <w:proofErr w:type="spellEnd"/>
      <w:r w:rsidRPr="008B399F">
        <w:rPr>
          <w:rStyle w:val="markedcontent"/>
          <w:rFonts w:ascii="Times New Roman" w:hAnsi="Times New Roman" w:cs="Times New Roman"/>
          <w:sz w:val="24"/>
          <w:szCs w:val="24"/>
        </w:rPr>
        <w:t xml:space="preserve">, M. (2017). Export Credit Insurance and Export Performance: An </w:t>
      </w:r>
      <w:r w:rsidRPr="008B399F">
        <w:rPr>
          <w:rStyle w:val="markedcontent"/>
          <w:rFonts w:ascii="Times New Roman" w:hAnsi="Times New Roman" w:cs="Times New Roman"/>
          <w:sz w:val="24"/>
          <w:szCs w:val="24"/>
        </w:rPr>
        <w:tab/>
        <w:t xml:space="preserve">Empirical Gravity Analysis for Turkey. </w:t>
      </w:r>
      <w:r w:rsidRPr="008B399F">
        <w:rPr>
          <w:rStyle w:val="markedcontent"/>
          <w:rFonts w:ascii="Times New Roman" w:hAnsi="Times New Roman" w:cs="Times New Roman"/>
          <w:i/>
          <w:sz w:val="24"/>
          <w:szCs w:val="24"/>
        </w:rPr>
        <w:t xml:space="preserve">International Journal of Economics and </w:t>
      </w:r>
      <w:r w:rsidRPr="008B399F">
        <w:rPr>
          <w:rStyle w:val="markedcontent"/>
          <w:rFonts w:ascii="Times New Roman" w:hAnsi="Times New Roman" w:cs="Times New Roman"/>
          <w:i/>
          <w:sz w:val="24"/>
          <w:szCs w:val="24"/>
        </w:rPr>
        <w:tab/>
        <w:t>Finance;</w:t>
      </w:r>
      <w:r w:rsidRPr="008B399F">
        <w:rPr>
          <w:rStyle w:val="markedcontent"/>
          <w:rFonts w:ascii="Times New Roman" w:hAnsi="Times New Roman" w:cs="Times New Roman"/>
          <w:sz w:val="24"/>
          <w:szCs w:val="24"/>
        </w:rPr>
        <w:t xml:space="preserve"> </w:t>
      </w:r>
      <w:r w:rsidRPr="008B399F">
        <w:rPr>
          <w:rStyle w:val="markedcontent"/>
          <w:rFonts w:ascii="Times New Roman" w:hAnsi="Times New Roman" w:cs="Times New Roman"/>
          <w:sz w:val="24"/>
          <w:szCs w:val="24"/>
        </w:rPr>
        <w:tab/>
        <w:t>Vol. 9, No. 8, 12-24.</w:t>
      </w:r>
    </w:p>
    <w:p w:rsidR="009D6042" w:rsidRPr="009D6042" w:rsidRDefault="009D6042" w:rsidP="00054300">
      <w:pPr>
        <w:spacing w:after="0" w:line="240" w:lineRule="auto"/>
        <w:jc w:val="both"/>
        <w:rPr>
          <w:rFonts w:ascii="Times New Roman" w:hAnsi="Times New Roman" w:cs="Times New Roman"/>
          <w:color w:val="222222"/>
          <w:sz w:val="24"/>
          <w:szCs w:val="24"/>
          <w:shd w:val="clear" w:color="auto" w:fill="FFFFFF"/>
        </w:rPr>
      </w:pPr>
      <w:proofErr w:type="spellStart"/>
      <w:r w:rsidRPr="008F44D7">
        <w:rPr>
          <w:rFonts w:ascii="Times New Roman" w:hAnsi="Times New Roman" w:cs="Times New Roman"/>
          <w:color w:val="222222"/>
          <w:sz w:val="24"/>
          <w:szCs w:val="24"/>
          <w:shd w:val="clear" w:color="auto" w:fill="FFFFFF"/>
        </w:rPr>
        <w:t>Rienstra‐Munnicha</w:t>
      </w:r>
      <w:proofErr w:type="spellEnd"/>
      <w:r w:rsidRPr="008F44D7">
        <w:rPr>
          <w:rFonts w:ascii="Times New Roman" w:hAnsi="Times New Roman" w:cs="Times New Roman"/>
          <w:color w:val="222222"/>
          <w:sz w:val="24"/>
          <w:szCs w:val="24"/>
          <w:shd w:val="clear" w:color="auto" w:fill="FFFFFF"/>
        </w:rPr>
        <w:t xml:space="preserve">, P., &amp; </w:t>
      </w:r>
      <w:proofErr w:type="spellStart"/>
      <w:r w:rsidRPr="008F44D7">
        <w:rPr>
          <w:rFonts w:ascii="Times New Roman" w:hAnsi="Times New Roman" w:cs="Times New Roman"/>
          <w:color w:val="222222"/>
          <w:sz w:val="24"/>
          <w:szCs w:val="24"/>
          <w:shd w:val="clear" w:color="auto" w:fill="FFFFFF"/>
        </w:rPr>
        <w:t>Turvey</w:t>
      </w:r>
      <w:proofErr w:type="spellEnd"/>
      <w:r w:rsidRPr="008F44D7">
        <w:rPr>
          <w:rFonts w:ascii="Times New Roman" w:hAnsi="Times New Roman" w:cs="Times New Roman"/>
          <w:color w:val="222222"/>
          <w:sz w:val="24"/>
          <w:szCs w:val="24"/>
          <w:shd w:val="clear" w:color="auto" w:fill="FFFFFF"/>
        </w:rPr>
        <w:t xml:space="preserve">, C. G. (2002). The relationship between exports, credit risk and </w:t>
      </w:r>
      <w:r>
        <w:rPr>
          <w:rFonts w:ascii="Times New Roman" w:hAnsi="Times New Roman" w:cs="Times New Roman"/>
          <w:color w:val="222222"/>
          <w:sz w:val="24"/>
          <w:szCs w:val="24"/>
          <w:shd w:val="clear" w:color="auto" w:fill="FFFFFF"/>
        </w:rPr>
        <w:tab/>
      </w:r>
      <w:r w:rsidRPr="008F44D7">
        <w:rPr>
          <w:rFonts w:ascii="Times New Roman" w:hAnsi="Times New Roman" w:cs="Times New Roman"/>
          <w:color w:val="222222"/>
          <w:sz w:val="24"/>
          <w:szCs w:val="24"/>
          <w:shd w:val="clear" w:color="auto" w:fill="FFFFFF"/>
        </w:rPr>
        <w:t>credit guarantees. </w:t>
      </w:r>
      <w:r w:rsidRPr="008F44D7">
        <w:rPr>
          <w:rFonts w:ascii="Times New Roman" w:hAnsi="Times New Roman" w:cs="Times New Roman"/>
          <w:i/>
          <w:iCs/>
          <w:color w:val="222222"/>
          <w:sz w:val="24"/>
          <w:szCs w:val="24"/>
          <w:shd w:val="clear" w:color="auto" w:fill="FFFFFF"/>
        </w:rPr>
        <w:t xml:space="preserve">Canadian Journal of Agricultural Economics/Revue </w:t>
      </w:r>
      <w:proofErr w:type="spellStart"/>
      <w:r w:rsidRPr="008F44D7">
        <w:rPr>
          <w:rFonts w:ascii="Times New Roman" w:hAnsi="Times New Roman" w:cs="Times New Roman"/>
          <w:i/>
          <w:iCs/>
          <w:color w:val="222222"/>
          <w:sz w:val="24"/>
          <w:szCs w:val="24"/>
          <w:shd w:val="clear" w:color="auto" w:fill="FFFFFF"/>
        </w:rPr>
        <w:t>canadienne</w:t>
      </w:r>
      <w:proofErr w:type="spellEnd"/>
      <w:r w:rsidRPr="008F44D7">
        <w:rPr>
          <w:rFonts w:ascii="Times New Roman" w:hAnsi="Times New Roman" w:cs="Times New Roman"/>
          <w:i/>
          <w:iCs/>
          <w:color w:val="222222"/>
          <w:sz w:val="24"/>
          <w:szCs w:val="24"/>
          <w:shd w:val="clear" w:color="auto" w:fill="FFFFFF"/>
        </w:rPr>
        <w:t xml:space="preserve"> </w:t>
      </w:r>
      <w:r>
        <w:rPr>
          <w:rFonts w:ascii="Times New Roman" w:hAnsi="Times New Roman" w:cs="Times New Roman"/>
          <w:i/>
          <w:iCs/>
          <w:color w:val="222222"/>
          <w:sz w:val="24"/>
          <w:szCs w:val="24"/>
          <w:shd w:val="clear" w:color="auto" w:fill="FFFFFF"/>
        </w:rPr>
        <w:tab/>
      </w:r>
      <w:proofErr w:type="spellStart"/>
      <w:r w:rsidRPr="008F44D7">
        <w:rPr>
          <w:rFonts w:ascii="Times New Roman" w:hAnsi="Times New Roman" w:cs="Times New Roman"/>
          <w:i/>
          <w:iCs/>
          <w:color w:val="222222"/>
          <w:sz w:val="24"/>
          <w:szCs w:val="24"/>
          <w:shd w:val="clear" w:color="auto" w:fill="FFFFFF"/>
        </w:rPr>
        <w:t>d'agroeconomie</w:t>
      </w:r>
      <w:proofErr w:type="spellEnd"/>
      <w:r w:rsidRPr="008F44D7">
        <w:rPr>
          <w:rFonts w:ascii="Times New Roman" w:hAnsi="Times New Roman" w:cs="Times New Roman"/>
          <w:color w:val="222222"/>
          <w:sz w:val="24"/>
          <w:szCs w:val="24"/>
          <w:shd w:val="clear" w:color="auto" w:fill="FFFFFF"/>
        </w:rPr>
        <w:t>, </w:t>
      </w:r>
      <w:r w:rsidRPr="008F44D7">
        <w:rPr>
          <w:rFonts w:ascii="Times New Roman" w:hAnsi="Times New Roman" w:cs="Times New Roman"/>
          <w:i/>
          <w:iCs/>
          <w:color w:val="222222"/>
          <w:sz w:val="24"/>
          <w:szCs w:val="24"/>
          <w:shd w:val="clear" w:color="auto" w:fill="FFFFFF"/>
        </w:rPr>
        <w:t>50</w:t>
      </w:r>
      <w:r w:rsidRPr="008F44D7">
        <w:rPr>
          <w:rFonts w:ascii="Times New Roman" w:hAnsi="Times New Roman" w:cs="Times New Roman"/>
          <w:color w:val="222222"/>
          <w:sz w:val="24"/>
          <w:szCs w:val="24"/>
          <w:shd w:val="clear" w:color="auto" w:fill="FFFFFF"/>
        </w:rPr>
        <w:t>(3), 281-296.</w:t>
      </w:r>
    </w:p>
    <w:p w:rsidR="00A472AD" w:rsidRPr="008B399F" w:rsidRDefault="00A472AD" w:rsidP="00054300">
      <w:pPr>
        <w:pStyle w:val="Default"/>
        <w:jc w:val="both"/>
        <w:rPr>
          <w:rFonts w:ascii="Times New Roman" w:hAnsi="Times New Roman" w:cs="Times New Roman"/>
        </w:rPr>
      </w:pPr>
      <w:proofErr w:type="spellStart"/>
      <w:r w:rsidRPr="008B399F">
        <w:rPr>
          <w:rFonts w:ascii="Times New Roman" w:hAnsi="Times New Roman" w:cs="Times New Roman"/>
          <w:lang w:val="en-US"/>
        </w:rPr>
        <w:t>Siregar</w:t>
      </w:r>
      <w:proofErr w:type="spellEnd"/>
      <w:r w:rsidRPr="008B399F">
        <w:rPr>
          <w:rFonts w:ascii="Times New Roman" w:hAnsi="Times New Roman" w:cs="Times New Roman"/>
          <w:lang w:val="en-US"/>
        </w:rPr>
        <w:t xml:space="preserve">, R. Y. (2010), ‘Export Credit and Export Performance in Indonesia’, in Findlay, C., F. </w:t>
      </w:r>
      <w:r w:rsidR="00E13135">
        <w:rPr>
          <w:rFonts w:ascii="Times New Roman" w:hAnsi="Times New Roman" w:cs="Times New Roman"/>
          <w:lang w:val="en-US"/>
        </w:rPr>
        <w:tab/>
      </w:r>
      <w:proofErr w:type="spellStart"/>
      <w:r w:rsidRPr="008B399F">
        <w:rPr>
          <w:rFonts w:ascii="Times New Roman" w:hAnsi="Times New Roman" w:cs="Times New Roman"/>
          <w:lang w:val="en-US"/>
        </w:rPr>
        <w:t>Parulian</w:t>
      </w:r>
      <w:proofErr w:type="spellEnd"/>
      <w:r w:rsidRPr="008B399F">
        <w:rPr>
          <w:rFonts w:ascii="Times New Roman" w:hAnsi="Times New Roman" w:cs="Times New Roman"/>
          <w:lang w:val="en-US"/>
        </w:rPr>
        <w:t xml:space="preserve"> and J. Corbett (ed.), </w:t>
      </w:r>
      <w:r w:rsidRPr="008B399F">
        <w:rPr>
          <w:rFonts w:ascii="Times New Roman" w:hAnsi="Times New Roman" w:cs="Times New Roman"/>
          <w:i/>
          <w:iCs/>
          <w:lang w:val="en-US"/>
        </w:rPr>
        <w:t xml:space="preserve">Linkages between Real and Financial Aspects of Economic </w:t>
      </w:r>
      <w:r w:rsidR="00E13135">
        <w:rPr>
          <w:rFonts w:ascii="Times New Roman" w:hAnsi="Times New Roman" w:cs="Times New Roman"/>
          <w:i/>
          <w:iCs/>
          <w:lang w:val="en-US"/>
        </w:rPr>
        <w:tab/>
      </w:r>
      <w:r w:rsidRPr="008B399F">
        <w:rPr>
          <w:rFonts w:ascii="Times New Roman" w:hAnsi="Times New Roman" w:cs="Times New Roman"/>
          <w:i/>
          <w:iCs/>
          <w:lang w:val="en-US"/>
        </w:rPr>
        <w:t xml:space="preserve">Integration in </w:t>
      </w:r>
      <w:r w:rsidRPr="008B399F">
        <w:rPr>
          <w:rFonts w:ascii="Times New Roman" w:hAnsi="Times New Roman" w:cs="Times New Roman"/>
          <w:i/>
          <w:iCs/>
          <w:lang w:val="en-US"/>
        </w:rPr>
        <w:tab/>
        <w:t>East Asia</w:t>
      </w:r>
      <w:r w:rsidRPr="008B399F">
        <w:rPr>
          <w:rFonts w:ascii="Times New Roman" w:hAnsi="Times New Roman" w:cs="Times New Roman"/>
          <w:lang w:val="en-US"/>
        </w:rPr>
        <w:t>. ERIA Research Project Report 2009-1, Jakarta: ERIA. pp. 255-</w:t>
      </w:r>
      <w:r w:rsidR="00E13135">
        <w:rPr>
          <w:rFonts w:ascii="Times New Roman" w:hAnsi="Times New Roman" w:cs="Times New Roman"/>
          <w:lang w:val="en-US"/>
        </w:rPr>
        <w:tab/>
      </w:r>
      <w:r w:rsidRPr="008B399F">
        <w:rPr>
          <w:rFonts w:ascii="Times New Roman" w:hAnsi="Times New Roman" w:cs="Times New Roman"/>
          <w:lang w:val="en-US"/>
        </w:rPr>
        <w:t>287.</w:t>
      </w:r>
    </w:p>
    <w:p w:rsidR="00A472AD" w:rsidRPr="008B399F" w:rsidRDefault="00A472AD" w:rsidP="00054300">
      <w:pPr>
        <w:autoSpaceDE w:val="0"/>
        <w:autoSpaceDN w:val="0"/>
        <w:adjustRightInd w:val="0"/>
        <w:spacing w:after="0" w:line="240" w:lineRule="auto"/>
        <w:jc w:val="both"/>
        <w:rPr>
          <w:rFonts w:ascii="Times New Roman" w:hAnsi="Times New Roman" w:cs="Times New Roman"/>
          <w:sz w:val="24"/>
          <w:szCs w:val="24"/>
        </w:rPr>
      </w:pPr>
      <w:proofErr w:type="spellStart"/>
      <w:r w:rsidRPr="008B399F">
        <w:rPr>
          <w:rFonts w:ascii="Times New Roman" w:hAnsi="Times New Roman" w:cs="Times New Roman"/>
          <w:sz w:val="24"/>
          <w:szCs w:val="24"/>
        </w:rPr>
        <w:t>Thirlwall</w:t>
      </w:r>
      <w:proofErr w:type="spellEnd"/>
      <w:r w:rsidRPr="008B399F">
        <w:rPr>
          <w:rFonts w:ascii="Times New Roman" w:hAnsi="Times New Roman" w:cs="Times New Roman"/>
          <w:sz w:val="24"/>
          <w:szCs w:val="24"/>
        </w:rPr>
        <w:t xml:space="preserve">, A. (2002). The economic nature of growth–an alternative framework for </w:t>
      </w:r>
      <w:r w:rsidRPr="008B399F">
        <w:rPr>
          <w:rFonts w:ascii="Times New Roman" w:hAnsi="Times New Roman" w:cs="Times New Roman"/>
          <w:sz w:val="24"/>
          <w:szCs w:val="24"/>
        </w:rPr>
        <w:tab/>
        <w:t xml:space="preserve">understanding the performance of nations. Cheltenham, UK: Edward Elgar </w:t>
      </w:r>
      <w:r w:rsidRPr="008B399F">
        <w:rPr>
          <w:rFonts w:ascii="Times New Roman" w:hAnsi="Times New Roman" w:cs="Times New Roman"/>
          <w:sz w:val="24"/>
          <w:szCs w:val="24"/>
        </w:rPr>
        <w:tab/>
        <w:t>Publications.</w:t>
      </w:r>
    </w:p>
    <w:p w:rsidR="00A472AD" w:rsidRPr="008B399F" w:rsidRDefault="00A472AD" w:rsidP="00054300">
      <w:pPr>
        <w:autoSpaceDE w:val="0"/>
        <w:autoSpaceDN w:val="0"/>
        <w:adjustRightInd w:val="0"/>
        <w:spacing w:after="0" w:line="240" w:lineRule="auto"/>
        <w:jc w:val="both"/>
        <w:rPr>
          <w:rFonts w:ascii="Times New Roman" w:hAnsi="Times New Roman" w:cs="Times New Roman"/>
          <w:sz w:val="24"/>
          <w:szCs w:val="24"/>
        </w:rPr>
      </w:pPr>
      <w:proofErr w:type="spellStart"/>
      <w:r w:rsidRPr="008B399F">
        <w:rPr>
          <w:rFonts w:ascii="Times New Roman" w:hAnsi="Times New Roman" w:cs="Times New Roman"/>
          <w:sz w:val="24"/>
          <w:szCs w:val="24"/>
        </w:rPr>
        <w:t>Turguttopbas</w:t>
      </w:r>
      <w:proofErr w:type="spellEnd"/>
      <w:r w:rsidRPr="008B399F">
        <w:rPr>
          <w:rFonts w:ascii="Times New Roman" w:hAnsi="Times New Roman" w:cs="Times New Roman"/>
          <w:sz w:val="24"/>
          <w:szCs w:val="24"/>
        </w:rPr>
        <w:t xml:space="preserve">, N., and </w:t>
      </w:r>
      <w:proofErr w:type="spellStart"/>
      <w:r w:rsidRPr="008B399F">
        <w:rPr>
          <w:rFonts w:ascii="Times New Roman" w:hAnsi="Times New Roman" w:cs="Times New Roman"/>
          <w:sz w:val="24"/>
          <w:szCs w:val="24"/>
        </w:rPr>
        <w:t>Küçüker</w:t>
      </w:r>
      <w:proofErr w:type="spellEnd"/>
      <w:r w:rsidRPr="008B399F">
        <w:rPr>
          <w:rFonts w:ascii="Times New Roman" w:hAnsi="Times New Roman" w:cs="Times New Roman"/>
          <w:sz w:val="24"/>
          <w:szCs w:val="24"/>
        </w:rPr>
        <w:t xml:space="preserve">, M. (2020). Corona </w:t>
      </w:r>
      <w:proofErr w:type="spellStart"/>
      <w:r w:rsidRPr="008B399F">
        <w:rPr>
          <w:rFonts w:ascii="Times New Roman" w:hAnsi="Times New Roman" w:cs="Times New Roman"/>
          <w:sz w:val="24"/>
          <w:szCs w:val="24"/>
        </w:rPr>
        <w:t>Pandemia</w:t>
      </w:r>
      <w:proofErr w:type="spellEnd"/>
      <w:r w:rsidRPr="008B399F">
        <w:rPr>
          <w:rFonts w:ascii="Times New Roman" w:hAnsi="Times New Roman" w:cs="Times New Roman"/>
          <w:sz w:val="24"/>
          <w:szCs w:val="24"/>
        </w:rPr>
        <w:t xml:space="preserve"> times: the export credit insurance as </w:t>
      </w:r>
      <w:r w:rsidR="00E13135">
        <w:rPr>
          <w:rFonts w:ascii="Times New Roman" w:hAnsi="Times New Roman" w:cs="Times New Roman"/>
          <w:sz w:val="24"/>
          <w:szCs w:val="24"/>
        </w:rPr>
        <w:tab/>
      </w:r>
      <w:r w:rsidRPr="008B399F">
        <w:rPr>
          <w:rFonts w:ascii="Times New Roman" w:hAnsi="Times New Roman" w:cs="Times New Roman"/>
          <w:sz w:val="24"/>
          <w:szCs w:val="24"/>
        </w:rPr>
        <w:t xml:space="preserve">a trade finance tool. </w:t>
      </w:r>
      <w:r w:rsidRPr="008B399F">
        <w:rPr>
          <w:rFonts w:ascii="Times New Roman" w:hAnsi="Times New Roman" w:cs="Times New Roman"/>
          <w:i/>
          <w:iCs/>
          <w:sz w:val="24"/>
          <w:szCs w:val="24"/>
        </w:rPr>
        <w:t>Journal of International Trade, Logistics and Law, 6</w:t>
      </w:r>
      <w:r w:rsidRPr="008B399F">
        <w:rPr>
          <w:rFonts w:ascii="Times New Roman" w:hAnsi="Times New Roman" w:cs="Times New Roman"/>
          <w:sz w:val="24"/>
          <w:szCs w:val="24"/>
        </w:rPr>
        <w:t xml:space="preserve"> (2), 168-175.</w:t>
      </w:r>
    </w:p>
    <w:p w:rsidR="00A472AD" w:rsidRPr="008B399F" w:rsidRDefault="00A472AD" w:rsidP="00054300">
      <w:pPr>
        <w:autoSpaceDE w:val="0"/>
        <w:autoSpaceDN w:val="0"/>
        <w:adjustRightInd w:val="0"/>
        <w:spacing w:after="0" w:line="240" w:lineRule="auto"/>
        <w:jc w:val="both"/>
        <w:rPr>
          <w:rStyle w:val="Hyperlink"/>
          <w:rFonts w:ascii="Times New Roman" w:hAnsi="Times New Roman" w:cs="Times New Roman"/>
          <w:sz w:val="24"/>
          <w:szCs w:val="24"/>
        </w:rPr>
      </w:pPr>
      <w:r w:rsidRPr="008B399F">
        <w:rPr>
          <w:rFonts w:ascii="Times New Roman" w:hAnsi="Times New Roman" w:cs="Times New Roman"/>
          <w:sz w:val="24"/>
          <w:szCs w:val="24"/>
        </w:rPr>
        <w:t xml:space="preserve">Wagner, J. (2019). Access to Finance and Exports – Comparable Evidence for Small and </w:t>
      </w:r>
      <w:r w:rsidRPr="008B399F">
        <w:rPr>
          <w:rFonts w:ascii="Times New Roman" w:hAnsi="Times New Roman" w:cs="Times New Roman"/>
          <w:sz w:val="24"/>
          <w:szCs w:val="24"/>
        </w:rPr>
        <w:tab/>
        <w:t>Medium Enterprises from Industry</w:t>
      </w:r>
      <w:r w:rsidRPr="008B399F">
        <w:rPr>
          <w:rFonts w:ascii="Times New Roman" w:hAnsi="Times New Roman" w:cs="Times New Roman"/>
          <w:sz w:val="24"/>
          <w:szCs w:val="24"/>
        </w:rPr>
        <w:br/>
      </w:r>
      <w:r w:rsidRPr="008B399F">
        <w:rPr>
          <w:rFonts w:ascii="Times New Roman" w:hAnsi="Times New Roman" w:cs="Times New Roman"/>
          <w:sz w:val="24"/>
          <w:szCs w:val="24"/>
        </w:rPr>
        <w:tab/>
        <w:t xml:space="preserve">and Services in 25 European Countries. </w:t>
      </w:r>
      <w:r w:rsidRPr="008B399F">
        <w:rPr>
          <w:rFonts w:ascii="Times New Roman" w:hAnsi="Times New Roman" w:cs="Times New Roman"/>
          <w:i/>
          <w:sz w:val="24"/>
          <w:szCs w:val="24"/>
        </w:rPr>
        <w:t>Open Economies Review</w:t>
      </w:r>
      <w:r w:rsidRPr="008B399F">
        <w:rPr>
          <w:rFonts w:ascii="Times New Roman" w:hAnsi="Times New Roman" w:cs="Times New Roman"/>
          <w:sz w:val="24"/>
          <w:szCs w:val="24"/>
        </w:rPr>
        <w:t xml:space="preserve"> (2019) 30:739–757. </w:t>
      </w:r>
      <w:r w:rsidRPr="008B399F">
        <w:rPr>
          <w:rFonts w:ascii="Times New Roman" w:hAnsi="Times New Roman" w:cs="Times New Roman"/>
          <w:sz w:val="24"/>
          <w:szCs w:val="24"/>
        </w:rPr>
        <w:tab/>
      </w:r>
      <w:hyperlink r:id="rId78" w:history="1">
        <w:r w:rsidRPr="008B399F">
          <w:rPr>
            <w:rStyle w:val="Hyperlink"/>
            <w:rFonts w:ascii="Times New Roman" w:hAnsi="Times New Roman" w:cs="Times New Roman"/>
            <w:sz w:val="24"/>
            <w:szCs w:val="24"/>
          </w:rPr>
          <w:t>https://doi.org/10.1007/s11079-019-09534-w</w:t>
        </w:r>
      </w:hyperlink>
    </w:p>
    <w:p w:rsidR="00A472AD" w:rsidRPr="008B399F" w:rsidRDefault="00A472AD" w:rsidP="00A472AD">
      <w:pPr>
        <w:jc w:val="both"/>
        <w:rPr>
          <w:rFonts w:ascii="Times New Roman" w:hAnsi="Times New Roman" w:cs="Times New Roman"/>
          <w:sz w:val="24"/>
          <w:szCs w:val="24"/>
        </w:rPr>
      </w:pPr>
    </w:p>
    <w:p w:rsidR="00A472AD" w:rsidRPr="00A472AD" w:rsidRDefault="00A472AD">
      <w:pPr>
        <w:rPr>
          <w:rFonts w:ascii="Times New Roman" w:hAnsi="Times New Roman" w:cs="Times New Roman"/>
          <w:b/>
          <w:sz w:val="24"/>
          <w:szCs w:val="24"/>
        </w:rPr>
      </w:pPr>
    </w:p>
    <w:sectPr w:rsidR="00A472AD" w:rsidRPr="00A472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2CE" w:rsidRDefault="003D52CE">
      <w:pPr>
        <w:spacing w:after="0" w:line="240" w:lineRule="auto"/>
      </w:pPr>
      <w:r>
        <w:separator/>
      </w:r>
    </w:p>
  </w:endnote>
  <w:endnote w:type="continuationSeparator" w:id="0">
    <w:p w:rsidR="003D52CE" w:rsidRDefault="003D5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MR10">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76042"/>
      <w:docPartObj>
        <w:docPartGallery w:val="Page Numbers (Bottom of Page)"/>
        <w:docPartUnique/>
      </w:docPartObj>
    </w:sdtPr>
    <w:sdtEndPr>
      <w:rPr>
        <w:noProof/>
      </w:rPr>
    </w:sdtEndPr>
    <w:sdtContent>
      <w:p w:rsidR="003C0551" w:rsidRDefault="00F50A94">
        <w:pPr>
          <w:pStyle w:val="Footer"/>
          <w:jc w:val="center"/>
        </w:pPr>
        <w:r>
          <w:fldChar w:fldCharType="begin"/>
        </w:r>
        <w:r>
          <w:instrText xml:space="preserve"> PAGE   \* MERGEFORMAT </w:instrText>
        </w:r>
        <w:r>
          <w:fldChar w:fldCharType="separate"/>
        </w:r>
        <w:r w:rsidR="00DF176F">
          <w:rPr>
            <w:noProof/>
          </w:rPr>
          <w:t>21</w:t>
        </w:r>
        <w:r>
          <w:rPr>
            <w:noProof/>
          </w:rPr>
          <w:fldChar w:fldCharType="end"/>
        </w:r>
      </w:p>
    </w:sdtContent>
  </w:sdt>
  <w:p w:rsidR="003C0551" w:rsidRDefault="003D52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7147482"/>
      <w:docPartObj>
        <w:docPartGallery w:val="Page Numbers (Bottom of Page)"/>
        <w:docPartUnique/>
      </w:docPartObj>
    </w:sdtPr>
    <w:sdtEndPr>
      <w:rPr>
        <w:noProof/>
      </w:rPr>
    </w:sdtEndPr>
    <w:sdtContent>
      <w:p w:rsidR="003C0551" w:rsidRDefault="00F50A94">
        <w:pPr>
          <w:pStyle w:val="Footer"/>
          <w:jc w:val="center"/>
        </w:pPr>
        <w:r>
          <w:fldChar w:fldCharType="begin"/>
        </w:r>
        <w:r>
          <w:instrText xml:space="preserve"> PAGE   \* MERGEFORMAT </w:instrText>
        </w:r>
        <w:r>
          <w:fldChar w:fldCharType="separate"/>
        </w:r>
        <w:r w:rsidR="00DF176F">
          <w:rPr>
            <w:noProof/>
          </w:rPr>
          <w:t>i</w:t>
        </w:r>
        <w:r>
          <w:rPr>
            <w:noProof/>
          </w:rPr>
          <w:fldChar w:fldCharType="end"/>
        </w:r>
      </w:p>
    </w:sdtContent>
  </w:sdt>
  <w:p w:rsidR="003C0551" w:rsidRDefault="003D52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2CE" w:rsidRDefault="003D52CE">
      <w:pPr>
        <w:spacing w:after="0" w:line="240" w:lineRule="auto"/>
      </w:pPr>
      <w:r>
        <w:separator/>
      </w:r>
    </w:p>
  </w:footnote>
  <w:footnote w:type="continuationSeparator" w:id="0">
    <w:p w:rsidR="003D52CE" w:rsidRDefault="003D52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556"/>
    <w:rsid w:val="00015F30"/>
    <w:rsid w:val="00054300"/>
    <w:rsid w:val="000B7471"/>
    <w:rsid w:val="000D2848"/>
    <w:rsid w:val="000D2D4D"/>
    <w:rsid w:val="000F3050"/>
    <w:rsid w:val="001143E8"/>
    <w:rsid w:val="00131684"/>
    <w:rsid w:val="001417A3"/>
    <w:rsid w:val="00176416"/>
    <w:rsid w:val="001C711C"/>
    <w:rsid w:val="00214A1F"/>
    <w:rsid w:val="00221C36"/>
    <w:rsid w:val="002847E2"/>
    <w:rsid w:val="002B459A"/>
    <w:rsid w:val="00304A44"/>
    <w:rsid w:val="003D14A5"/>
    <w:rsid w:val="003D52CE"/>
    <w:rsid w:val="003D7507"/>
    <w:rsid w:val="003F372A"/>
    <w:rsid w:val="003F3D86"/>
    <w:rsid w:val="00482881"/>
    <w:rsid w:val="004A1692"/>
    <w:rsid w:val="004E1D54"/>
    <w:rsid w:val="005179C8"/>
    <w:rsid w:val="00530EFA"/>
    <w:rsid w:val="005317C9"/>
    <w:rsid w:val="005A0AE5"/>
    <w:rsid w:val="005D6C5B"/>
    <w:rsid w:val="005E5940"/>
    <w:rsid w:val="0061377D"/>
    <w:rsid w:val="00687BEA"/>
    <w:rsid w:val="00697538"/>
    <w:rsid w:val="0070761F"/>
    <w:rsid w:val="00734F23"/>
    <w:rsid w:val="007C7D36"/>
    <w:rsid w:val="00872455"/>
    <w:rsid w:val="00890556"/>
    <w:rsid w:val="00894BCC"/>
    <w:rsid w:val="008D270E"/>
    <w:rsid w:val="008E4A7C"/>
    <w:rsid w:val="009B2A77"/>
    <w:rsid w:val="009D2604"/>
    <w:rsid w:val="009D6042"/>
    <w:rsid w:val="00A472AD"/>
    <w:rsid w:val="00A47D8C"/>
    <w:rsid w:val="00A549BC"/>
    <w:rsid w:val="00A8752B"/>
    <w:rsid w:val="00AD40A9"/>
    <w:rsid w:val="00B10EFA"/>
    <w:rsid w:val="00B87B0F"/>
    <w:rsid w:val="00BE35CD"/>
    <w:rsid w:val="00C00D55"/>
    <w:rsid w:val="00C11B0D"/>
    <w:rsid w:val="00C67241"/>
    <w:rsid w:val="00CE7C93"/>
    <w:rsid w:val="00CF6A76"/>
    <w:rsid w:val="00D13A54"/>
    <w:rsid w:val="00D66430"/>
    <w:rsid w:val="00D90ABB"/>
    <w:rsid w:val="00DA0972"/>
    <w:rsid w:val="00DB1D04"/>
    <w:rsid w:val="00DB32C1"/>
    <w:rsid w:val="00DF176F"/>
    <w:rsid w:val="00E13135"/>
    <w:rsid w:val="00E370BC"/>
    <w:rsid w:val="00E62393"/>
    <w:rsid w:val="00E623A5"/>
    <w:rsid w:val="00EC4630"/>
    <w:rsid w:val="00ED1000"/>
    <w:rsid w:val="00ED4C20"/>
    <w:rsid w:val="00EF32C4"/>
    <w:rsid w:val="00F07C8A"/>
    <w:rsid w:val="00F34625"/>
    <w:rsid w:val="00F50A94"/>
    <w:rsid w:val="00F65845"/>
    <w:rsid w:val="00F84A45"/>
    <w:rsid w:val="00FB3573"/>
    <w:rsid w:val="00FE4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BB514-32F1-4A9C-9026-66503F946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556"/>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0556"/>
    <w:pPr>
      <w:autoSpaceDE w:val="0"/>
      <w:autoSpaceDN w:val="0"/>
      <w:adjustRightInd w:val="0"/>
      <w:spacing w:after="0" w:line="240" w:lineRule="auto"/>
    </w:pPr>
    <w:rPr>
      <w:rFonts w:ascii="Arial" w:hAnsi="Arial" w:cs="Arial"/>
      <w:color w:val="000000"/>
      <w:sz w:val="24"/>
      <w:szCs w:val="24"/>
      <w:lang w:val="en-GB"/>
    </w:rPr>
  </w:style>
  <w:style w:type="paragraph" w:customStyle="1" w:styleId="H2">
    <w:name w:val="H2"/>
    <w:basedOn w:val="Normal"/>
    <w:qFormat/>
    <w:rsid w:val="00890556"/>
    <w:pPr>
      <w:jc w:val="both"/>
    </w:pPr>
    <w:rPr>
      <w:rFonts w:ascii="Times New Roman" w:hAnsi="Times New Roman" w:cs="Times New Roman"/>
      <w:b/>
    </w:rPr>
  </w:style>
  <w:style w:type="character" w:customStyle="1" w:styleId="markedcontent">
    <w:name w:val="markedcontent"/>
    <w:basedOn w:val="DefaultParagraphFont"/>
    <w:rsid w:val="00D90ABB"/>
  </w:style>
  <w:style w:type="paragraph" w:customStyle="1" w:styleId="T1">
    <w:name w:val="T1"/>
    <w:basedOn w:val="Normal"/>
    <w:qFormat/>
    <w:rsid w:val="00CF6A76"/>
    <w:pPr>
      <w:autoSpaceDE w:val="0"/>
      <w:autoSpaceDN w:val="0"/>
      <w:adjustRightInd w:val="0"/>
      <w:spacing w:before="240" w:after="0"/>
      <w:jc w:val="both"/>
    </w:pPr>
    <w:rPr>
      <w:rFonts w:ascii="Times New Roman" w:hAnsi="Times New Roman" w:cs="Times New Roman"/>
      <w:b/>
      <w:sz w:val="24"/>
      <w:szCs w:val="24"/>
      <w:lang w:val="en-US"/>
    </w:rPr>
  </w:style>
  <w:style w:type="table" w:styleId="TableGrid">
    <w:name w:val="Table Grid"/>
    <w:basedOn w:val="TableNormal"/>
    <w:uiPriority w:val="39"/>
    <w:rsid w:val="00CF6A7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qFormat/>
    <w:rsid w:val="00DB32C1"/>
    <w:pPr>
      <w:spacing w:before="240"/>
      <w:jc w:val="center"/>
    </w:pPr>
    <w:rPr>
      <w:rFonts w:ascii="Times New Roman" w:hAnsi="Times New Roman" w:cs="Times New Roman"/>
      <w:b/>
    </w:rPr>
  </w:style>
  <w:style w:type="character" w:styleId="Hyperlink">
    <w:name w:val="Hyperlink"/>
    <w:basedOn w:val="DefaultParagraphFont"/>
    <w:uiPriority w:val="99"/>
    <w:unhideWhenUsed/>
    <w:rsid w:val="00A472AD"/>
    <w:rPr>
      <w:color w:val="0563C1" w:themeColor="hyperlink"/>
      <w:u w:val="single"/>
    </w:rPr>
  </w:style>
  <w:style w:type="paragraph" w:styleId="Footer">
    <w:name w:val="footer"/>
    <w:basedOn w:val="Normal"/>
    <w:link w:val="FooterChar"/>
    <w:uiPriority w:val="99"/>
    <w:unhideWhenUsed/>
    <w:rsid w:val="00F34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62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0.wmf"/><Relationship Id="rId50" Type="http://schemas.openxmlformats.org/officeDocument/2006/relationships/oleObject" Target="embeddings/oleObject22.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1.bin"/><Relationship Id="rId76" Type="http://schemas.openxmlformats.org/officeDocument/2006/relationships/oleObject" Target="embeddings/oleObject35.bin"/><Relationship Id="rId7" Type="http://schemas.openxmlformats.org/officeDocument/2006/relationships/footer" Target="footer2.xml"/><Relationship Id="rId71" Type="http://schemas.openxmlformats.org/officeDocument/2006/relationships/image" Target="media/image32.wmf"/><Relationship Id="rId2" Type="http://schemas.openxmlformats.org/officeDocument/2006/relationships/settings" Target="setting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image" Target="media/image27.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hyperlink" Target="https://doi.org/10.1007/s11079-019-09534-w" TargetMode="External"/><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1.wmf"/><Relationship Id="rId77" Type="http://schemas.openxmlformats.org/officeDocument/2006/relationships/hyperlink" Target="https://opencommons.uconn.edu/econ_wpapers/200344" TargetMode="External"/><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4.wmf"/><Relationship Id="rId1" Type="http://schemas.openxmlformats.org/officeDocument/2006/relationships/styles" Target="styles.xml"/><Relationship Id="rId6" Type="http://schemas.openxmlformats.org/officeDocument/2006/relationships/footer" Target="footer1.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24</Pages>
  <Words>10338</Words>
  <Characters>58930</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saba.nld@ducic.ac.in</dc:creator>
  <cp:keywords/>
  <dc:description/>
  <cp:lastModifiedBy>saba.nld@ducic.ac.in</cp:lastModifiedBy>
  <cp:revision>72</cp:revision>
  <dcterms:created xsi:type="dcterms:W3CDTF">2023-05-15T15:33:00Z</dcterms:created>
  <dcterms:modified xsi:type="dcterms:W3CDTF">2023-05-17T05:40:00Z</dcterms:modified>
</cp:coreProperties>
</file>