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4D3" w:rsidRDefault="009E74D3" w:rsidP="0071492F">
      <w:pPr>
        <w:rPr>
          <w:sz w:val="40"/>
          <w:szCs w:val="40"/>
        </w:rPr>
      </w:pPr>
    </w:p>
    <w:p w:rsidR="008C67D6" w:rsidRDefault="004533DF" w:rsidP="0071492F">
      <w:pPr>
        <w:rPr>
          <w:sz w:val="40"/>
          <w:szCs w:val="40"/>
        </w:rPr>
      </w:pPr>
      <w:r>
        <w:rPr>
          <w:sz w:val="40"/>
          <w:szCs w:val="40"/>
        </w:rPr>
        <w:t xml:space="preserve">A comparative study to evaluate the visibility of mandibular    </w:t>
      </w:r>
      <w:r w:rsidR="0071492F">
        <w:rPr>
          <w:sz w:val="40"/>
          <w:szCs w:val="40"/>
        </w:rPr>
        <w:t xml:space="preserve">      </w:t>
      </w:r>
      <w:r>
        <w:rPr>
          <w:sz w:val="40"/>
          <w:szCs w:val="40"/>
        </w:rPr>
        <w:t>canal in CBCT and OPG</w:t>
      </w:r>
    </w:p>
    <w:p w:rsidR="008C67D6" w:rsidRPr="0003431C" w:rsidRDefault="004533DF">
      <w:pPr>
        <w:ind w:left="-540"/>
        <w:jc w:val="both"/>
        <w:rPr>
          <w:b/>
          <w:sz w:val="24"/>
          <w:szCs w:val="24"/>
        </w:rPr>
      </w:pPr>
      <w:r w:rsidRPr="004013A4">
        <w:rPr>
          <w:b/>
          <w:sz w:val="24"/>
          <w:szCs w:val="24"/>
        </w:rPr>
        <w:t xml:space="preserve">         ABSTRACT </w:t>
      </w:r>
    </w:p>
    <w:p w:rsidR="008C67D6" w:rsidRPr="004013A4" w:rsidRDefault="004533DF">
      <w:pPr>
        <w:tabs>
          <w:tab w:val="left" w:pos="0"/>
          <w:tab w:val="left" w:pos="10440"/>
        </w:tabs>
        <w:autoSpaceDE w:val="0"/>
        <w:autoSpaceDN w:val="0"/>
        <w:adjustRightInd w:val="0"/>
        <w:spacing w:after="0" w:line="240" w:lineRule="auto"/>
        <w:ind w:right="-180"/>
        <w:jc w:val="both"/>
        <w:rPr>
          <w:rFonts w:ascii="Times New Roman" w:hAnsi="Times New Roman" w:cs="Times New Roman"/>
          <w:bCs/>
          <w:sz w:val="24"/>
          <w:szCs w:val="24"/>
        </w:rPr>
      </w:pPr>
      <w:r w:rsidRPr="004013A4">
        <w:rPr>
          <w:rFonts w:ascii="Times New Roman" w:hAnsi="Times New Roman" w:cs="Times New Roman"/>
          <w:b/>
          <w:bCs/>
          <w:sz w:val="24"/>
          <w:szCs w:val="24"/>
        </w:rPr>
        <w:t>Introduction</w:t>
      </w:r>
      <w:r w:rsidRPr="004013A4">
        <w:rPr>
          <w:rFonts w:ascii="Times New Roman" w:hAnsi="Times New Roman" w:cs="Times New Roman"/>
          <w:bCs/>
          <w:sz w:val="24"/>
          <w:szCs w:val="24"/>
        </w:rPr>
        <w:t>: Detection of the mandibular canal (MC) is an important requirement for different surgical procedures such as implant placement, surgical removal of the pathological lesion and even tooth extraction. OPG and CBCT represent an advanced imaging technology.</w:t>
      </w:r>
    </w:p>
    <w:p w:rsidR="008C67D6" w:rsidRPr="004013A4" w:rsidRDefault="008C67D6">
      <w:pPr>
        <w:tabs>
          <w:tab w:val="left" w:pos="0"/>
          <w:tab w:val="left" w:pos="10440"/>
        </w:tabs>
        <w:autoSpaceDE w:val="0"/>
        <w:autoSpaceDN w:val="0"/>
        <w:adjustRightInd w:val="0"/>
        <w:spacing w:after="0" w:line="240" w:lineRule="auto"/>
        <w:ind w:right="-180"/>
        <w:jc w:val="both"/>
        <w:rPr>
          <w:rFonts w:ascii="Times New Roman" w:hAnsi="Times New Roman" w:cs="Times New Roman"/>
          <w:sz w:val="24"/>
          <w:szCs w:val="24"/>
        </w:rPr>
      </w:pPr>
    </w:p>
    <w:p w:rsidR="008C67D6" w:rsidRPr="004013A4" w:rsidRDefault="004533DF">
      <w:pPr>
        <w:tabs>
          <w:tab w:val="left" w:pos="0"/>
          <w:tab w:val="left" w:pos="10440"/>
        </w:tabs>
        <w:autoSpaceDE w:val="0"/>
        <w:autoSpaceDN w:val="0"/>
        <w:adjustRightInd w:val="0"/>
        <w:spacing w:after="0" w:line="240" w:lineRule="auto"/>
        <w:ind w:right="-180"/>
        <w:jc w:val="both"/>
        <w:rPr>
          <w:rFonts w:ascii="Times New Roman" w:hAnsi="Times New Roman" w:cs="Times New Roman"/>
          <w:sz w:val="24"/>
          <w:szCs w:val="24"/>
        </w:rPr>
      </w:pPr>
      <w:r w:rsidRPr="004013A4">
        <w:rPr>
          <w:rFonts w:ascii="Times New Roman" w:hAnsi="Times New Roman" w:cs="Times New Roman"/>
          <w:b/>
          <w:bCs/>
          <w:sz w:val="24"/>
          <w:szCs w:val="24"/>
        </w:rPr>
        <w:t>Aim</w:t>
      </w:r>
      <w:r w:rsidRPr="004013A4">
        <w:rPr>
          <w:rFonts w:ascii="Times New Roman" w:hAnsi="Times New Roman" w:cs="Times New Roman"/>
          <w:bCs/>
          <w:sz w:val="24"/>
          <w:szCs w:val="24"/>
        </w:rPr>
        <w:t>: This comparative study was conducted to assess the visibility of MC in different regions using CBCT and OPG images and compare them.</w:t>
      </w:r>
    </w:p>
    <w:p w:rsidR="008C67D6" w:rsidRPr="004013A4" w:rsidRDefault="008C67D6">
      <w:pPr>
        <w:tabs>
          <w:tab w:val="left" w:pos="0"/>
          <w:tab w:val="left" w:pos="10440"/>
        </w:tabs>
        <w:autoSpaceDE w:val="0"/>
        <w:autoSpaceDN w:val="0"/>
        <w:adjustRightInd w:val="0"/>
        <w:spacing w:after="0" w:line="240" w:lineRule="auto"/>
        <w:ind w:right="-180"/>
        <w:jc w:val="both"/>
        <w:rPr>
          <w:rFonts w:ascii="Times New Roman" w:hAnsi="Times New Roman" w:cs="Times New Roman"/>
          <w:sz w:val="24"/>
          <w:szCs w:val="24"/>
        </w:rPr>
      </w:pPr>
    </w:p>
    <w:p w:rsidR="008C67D6" w:rsidRPr="004013A4" w:rsidRDefault="004533DF">
      <w:pPr>
        <w:tabs>
          <w:tab w:val="left" w:pos="0"/>
          <w:tab w:val="left" w:pos="10440"/>
        </w:tabs>
        <w:autoSpaceDE w:val="0"/>
        <w:autoSpaceDN w:val="0"/>
        <w:adjustRightInd w:val="0"/>
        <w:spacing w:after="0" w:line="240" w:lineRule="auto"/>
        <w:ind w:right="-180"/>
        <w:jc w:val="both"/>
        <w:rPr>
          <w:rFonts w:ascii="Times New Roman" w:hAnsi="Times New Roman" w:cs="Times New Roman"/>
          <w:bCs/>
          <w:sz w:val="24"/>
          <w:szCs w:val="24"/>
        </w:rPr>
      </w:pPr>
      <w:r w:rsidRPr="004013A4">
        <w:rPr>
          <w:rFonts w:ascii="Times New Roman" w:hAnsi="Times New Roman" w:cs="Times New Roman"/>
          <w:b/>
          <w:sz w:val="24"/>
          <w:szCs w:val="24"/>
        </w:rPr>
        <w:t>Material and method</w:t>
      </w:r>
      <w:r w:rsidRPr="004013A4">
        <w:rPr>
          <w:rFonts w:ascii="Times New Roman" w:hAnsi="Times New Roman" w:cs="Times New Roman"/>
          <w:sz w:val="24"/>
          <w:szCs w:val="24"/>
        </w:rPr>
        <w:t>: The images were taken with a digital panoramic and CBCT system (VATECH SMARTPLUS). Approx.</w:t>
      </w:r>
      <w:r w:rsidRPr="004013A4">
        <w:rPr>
          <w:rFonts w:ascii="Times New Roman" w:hAnsi="Times New Roman" w:cs="Times New Roman"/>
          <w:bCs/>
          <w:sz w:val="24"/>
          <w:szCs w:val="24"/>
        </w:rPr>
        <w:t xml:space="preserve">20 scans were evaluated and the MC visibility was assessed in four regions (second premolar (a), first molar(b), second molar(c) and distal to the second molar(d) </w:t>
      </w:r>
    </w:p>
    <w:p w:rsidR="008C67D6" w:rsidRPr="004013A4" w:rsidRDefault="008C67D6">
      <w:pPr>
        <w:tabs>
          <w:tab w:val="left" w:pos="0"/>
          <w:tab w:val="left" w:pos="10440"/>
        </w:tabs>
        <w:autoSpaceDE w:val="0"/>
        <w:autoSpaceDN w:val="0"/>
        <w:adjustRightInd w:val="0"/>
        <w:spacing w:after="0" w:line="240" w:lineRule="auto"/>
        <w:ind w:right="-180"/>
        <w:jc w:val="both"/>
        <w:rPr>
          <w:rFonts w:ascii="Times New Roman" w:hAnsi="Times New Roman" w:cs="Times New Roman"/>
          <w:bCs/>
          <w:sz w:val="24"/>
          <w:szCs w:val="24"/>
        </w:rPr>
      </w:pPr>
    </w:p>
    <w:p w:rsidR="008C67D6" w:rsidRPr="005749AE" w:rsidRDefault="004533DF" w:rsidP="00143E07">
      <w:pPr>
        <w:rPr>
          <w:rFonts w:ascii="Times New Roman" w:hAnsi="Times New Roman" w:cs="Times New Roman"/>
          <w:bCs/>
          <w:sz w:val="24"/>
          <w:szCs w:val="24"/>
        </w:rPr>
      </w:pPr>
      <w:r w:rsidRPr="004013A4">
        <w:rPr>
          <w:rFonts w:ascii="Times New Roman" w:hAnsi="Times New Roman" w:cs="Times New Roman"/>
          <w:b/>
          <w:bCs/>
          <w:sz w:val="24"/>
          <w:szCs w:val="24"/>
        </w:rPr>
        <w:t>Result</w:t>
      </w:r>
      <w:r w:rsidRPr="004013A4">
        <w:rPr>
          <w:rFonts w:ascii="Times New Roman" w:hAnsi="Times New Roman" w:cs="Times New Roman"/>
          <w:bCs/>
          <w:sz w:val="24"/>
          <w:szCs w:val="24"/>
        </w:rPr>
        <w:t>:</w:t>
      </w:r>
      <w:r w:rsidR="005749AE">
        <w:t xml:space="preserve"> </w:t>
      </w:r>
      <w:r w:rsidRPr="004013A4">
        <w:rPr>
          <w:rFonts w:ascii="Times New Roman" w:hAnsi="Times New Roman" w:cs="Times New Roman"/>
          <w:bCs/>
          <w:sz w:val="24"/>
          <w:szCs w:val="24"/>
        </w:rPr>
        <w:t>The visibility of MC in region A by CBCT was clearer than OPG, while in region D the visibility was better using OPG</w:t>
      </w:r>
      <w:r w:rsidR="005749AE">
        <w:rPr>
          <w:rFonts w:ascii="Times New Roman" w:hAnsi="Times New Roman" w:cs="Times New Roman"/>
          <w:bCs/>
          <w:sz w:val="24"/>
          <w:szCs w:val="24"/>
        </w:rPr>
        <w:t xml:space="preserve"> in 75% of all cases</w:t>
      </w:r>
    </w:p>
    <w:p w:rsidR="008C67D6" w:rsidRPr="004013A4" w:rsidRDefault="008C67D6">
      <w:pPr>
        <w:tabs>
          <w:tab w:val="left" w:pos="0"/>
          <w:tab w:val="left" w:pos="10440"/>
        </w:tabs>
        <w:autoSpaceDE w:val="0"/>
        <w:autoSpaceDN w:val="0"/>
        <w:adjustRightInd w:val="0"/>
        <w:spacing w:after="0" w:line="240" w:lineRule="auto"/>
        <w:ind w:right="-180"/>
        <w:jc w:val="both"/>
        <w:rPr>
          <w:rFonts w:ascii="Times New Roman" w:hAnsi="Times New Roman" w:cs="Times New Roman"/>
          <w:bCs/>
          <w:sz w:val="24"/>
          <w:szCs w:val="24"/>
        </w:rPr>
      </w:pPr>
    </w:p>
    <w:p w:rsidR="008C67D6" w:rsidRPr="004013A4" w:rsidRDefault="004533DF">
      <w:pPr>
        <w:tabs>
          <w:tab w:val="left" w:pos="0"/>
          <w:tab w:val="left" w:pos="10440"/>
        </w:tabs>
        <w:autoSpaceDE w:val="0"/>
        <w:autoSpaceDN w:val="0"/>
        <w:adjustRightInd w:val="0"/>
        <w:spacing w:after="0" w:line="240" w:lineRule="auto"/>
        <w:ind w:right="-180"/>
        <w:jc w:val="both"/>
        <w:rPr>
          <w:rFonts w:ascii="Times New Roman" w:hAnsi="Times New Roman" w:cs="Times New Roman"/>
          <w:sz w:val="24"/>
          <w:szCs w:val="24"/>
        </w:rPr>
      </w:pPr>
      <w:r w:rsidRPr="004013A4">
        <w:rPr>
          <w:rFonts w:ascii="Times New Roman" w:hAnsi="Times New Roman" w:cs="Times New Roman"/>
          <w:b/>
          <w:bCs/>
          <w:sz w:val="24"/>
          <w:szCs w:val="24"/>
        </w:rPr>
        <w:t xml:space="preserve">Conclusion: </w:t>
      </w:r>
      <w:r w:rsidRPr="004013A4">
        <w:rPr>
          <w:rFonts w:ascii="Times New Roman" w:hAnsi="Times New Roman" w:cs="Times New Roman"/>
          <w:sz w:val="24"/>
          <w:szCs w:val="24"/>
        </w:rPr>
        <w:t>The results showed a significant difference between the two imaging techniques with more clearance and visibility of the MC in  CBCT.</w:t>
      </w:r>
    </w:p>
    <w:p w:rsidR="008C67D6" w:rsidRPr="004013A4" w:rsidRDefault="008C67D6">
      <w:pPr>
        <w:tabs>
          <w:tab w:val="left" w:pos="0"/>
          <w:tab w:val="left" w:pos="10440"/>
        </w:tabs>
        <w:autoSpaceDE w:val="0"/>
        <w:autoSpaceDN w:val="0"/>
        <w:adjustRightInd w:val="0"/>
        <w:spacing w:after="0" w:line="240" w:lineRule="auto"/>
        <w:ind w:right="-180"/>
        <w:jc w:val="both"/>
        <w:rPr>
          <w:rFonts w:ascii="Times New Roman" w:hAnsi="Times New Roman" w:cs="Times New Roman"/>
          <w:sz w:val="24"/>
          <w:szCs w:val="24"/>
        </w:rPr>
      </w:pPr>
    </w:p>
    <w:p w:rsidR="008C67D6" w:rsidRPr="004013A4" w:rsidRDefault="004533DF">
      <w:pPr>
        <w:tabs>
          <w:tab w:val="left" w:pos="0"/>
          <w:tab w:val="left" w:pos="10440"/>
        </w:tabs>
        <w:autoSpaceDE w:val="0"/>
        <w:autoSpaceDN w:val="0"/>
        <w:adjustRightInd w:val="0"/>
        <w:spacing w:after="0" w:line="240" w:lineRule="auto"/>
        <w:ind w:right="-180"/>
        <w:jc w:val="both"/>
        <w:rPr>
          <w:rFonts w:ascii="Times New Roman" w:hAnsi="Times New Roman" w:cs="Times New Roman"/>
          <w:bCs/>
          <w:sz w:val="24"/>
          <w:szCs w:val="24"/>
        </w:rPr>
      </w:pPr>
      <w:r w:rsidRPr="004013A4">
        <w:rPr>
          <w:rFonts w:ascii="Times New Roman" w:hAnsi="Times New Roman" w:cs="Times New Roman"/>
          <w:sz w:val="24"/>
          <w:szCs w:val="24"/>
        </w:rPr>
        <w:t>KEY WORDS – mandibular canal (MC),</w:t>
      </w:r>
      <w:r w:rsidR="00852B10">
        <w:rPr>
          <w:rFonts w:ascii="Times New Roman" w:hAnsi="Times New Roman" w:cs="Times New Roman"/>
          <w:sz w:val="24"/>
          <w:szCs w:val="24"/>
        </w:rPr>
        <w:t xml:space="preserve"> </w:t>
      </w:r>
      <w:r w:rsidRPr="004013A4">
        <w:rPr>
          <w:rFonts w:ascii="Times New Roman" w:hAnsi="Times New Roman" w:cs="Times New Roman"/>
          <w:sz w:val="24"/>
          <w:szCs w:val="24"/>
        </w:rPr>
        <w:t>computed tomography(CBCT)</w:t>
      </w:r>
      <w:r w:rsidR="00852B10">
        <w:rPr>
          <w:rFonts w:ascii="Times New Roman" w:hAnsi="Times New Roman" w:cs="Times New Roman"/>
          <w:sz w:val="24"/>
          <w:szCs w:val="24"/>
        </w:rPr>
        <w:t xml:space="preserve"> </w:t>
      </w:r>
      <w:r w:rsidRPr="004013A4">
        <w:rPr>
          <w:rFonts w:ascii="Times New Roman" w:hAnsi="Times New Roman" w:cs="Times New Roman"/>
          <w:sz w:val="24"/>
          <w:szCs w:val="24"/>
        </w:rPr>
        <w:t>,</w:t>
      </w:r>
      <w:r w:rsidR="00887FDD">
        <w:rPr>
          <w:rFonts w:ascii="Times New Roman" w:hAnsi="Times New Roman" w:cs="Times New Roman"/>
          <w:sz w:val="24"/>
          <w:szCs w:val="24"/>
        </w:rPr>
        <w:t xml:space="preserve"> </w:t>
      </w:r>
      <w:r w:rsidRPr="004013A4">
        <w:rPr>
          <w:rFonts w:ascii="Times New Roman" w:hAnsi="Times New Roman" w:cs="Times New Roman"/>
          <w:sz w:val="24"/>
          <w:szCs w:val="24"/>
        </w:rPr>
        <w:t>orthopantomograph</w:t>
      </w:r>
      <w:r w:rsidR="00852B10">
        <w:rPr>
          <w:rFonts w:ascii="Times New Roman" w:hAnsi="Times New Roman" w:cs="Times New Roman"/>
          <w:sz w:val="24"/>
          <w:szCs w:val="24"/>
        </w:rPr>
        <w:t xml:space="preserve"> (OPG</w:t>
      </w:r>
      <w:r w:rsidRPr="004013A4">
        <w:rPr>
          <w:rFonts w:ascii="Times New Roman" w:hAnsi="Times New Roman" w:cs="Times New Roman"/>
          <w:sz w:val="24"/>
          <w:szCs w:val="24"/>
        </w:rPr>
        <w:t>)</w:t>
      </w:r>
    </w:p>
    <w:p w:rsidR="008C67D6" w:rsidRPr="004013A4" w:rsidRDefault="008C67D6">
      <w:pPr>
        <w:tabs>
          <w:tab w:val="left" w:pos="0"/>
          <w:tab w:val="left" w:pos="10440"/>
        </w:tabs>
        <w:autoSpaceDE w:val="0"/>
        <w:autoSpaceDN w:val="0"/>
        <w:adjustRightInd w:val="0"/>
        <w:spacing w:after="0" w:line="240" w:lineRule="auto"/>
        <w:ind w:right="-180"/>
        <w:jc w:val="both"/>
        <w:rPr>
          <w:rFonts w:ascii="Times New Roman" w:hAnsi="Times New Roman" w:cs="Times New Roman"/>
          <w:sz w:val="24"/>
          <w:szCs w:val="24"/>
        </w:rPr>
      </w:pPr>
    </w:p>
    <w:p w:rsidR="008C67D6" w:rsidRDefault="008C67D6">
      <w:pPr>
        <w:tabs>
          <w:tab w:val="left" w:pos="0"/>
          <w:tab w:val="left" w:pos="10440"/>
        </w:tabs>
        <w:autoSpaceDE w:val="0"/>
        <w:autoSpaceDN w:val="0"/>
        <w:adjustRightInd w:val="0"/>
        <w:spacing w:after="0" w:line="240" w:lineRule="auto"/>
        <w:ind w:right="-180"/>
        <w:jc w:val="both"/>
        <w:rPr>
          <w:rFonts w:ascii="Times New Roman" w:hAnsi="Times New Roman" w:cs="Times New Roman"/>
          <w:sz w:val="28"/>
          <w:szCs w:val="28"/>
        </w:rPr>
      </w:pPr>
    </w:p>
    <w:p w:rsidR="008C67D6" w:rsidRDefault="008C67D6">
      <w:pPr>
        <w:tabs>
          <w:tab w:val="left" w:pos="0"/>
          <w:tab w:val="left" w:pos="10440"/>
        </w:tabs>
        <w:autoSpaceDE w:val="0"/>
        <w:autoSpaceDN w:val="0"/>
        <w:adjustRightInd w:val="0"/>
        <w:spacing w:after="0" w:line="240" w:lineRule="auto"/>
        <w:ind w:right="-180"/>
        <w:jc w:val="both"/>
        <w:rPr>
          <w:rFonts w:ascii="Times New Roman" w:hAnsi="Times New Roman" w:cs="Times New Roman"/>
          <w:sz w:val="28"/>
          <w:szCs w:val="28"/>
        </w:rPr>
      </w:pPr>
    </w:p>
    <w:p w:rsidR="008C67D6" w:rsidRDefault="008C67D6">
      <w:pPr>
        <w:tabs>
          <w:tab w:val="left" w:pos="0"/>
          <w:tab w:val="left" w:pos="10440"/>
        </w:tabs>
        <w:autoSpaceDE w:val="0"/>
        <w:autoSpaceDN w:val="0"/>
        <w:adjustRightInd w:val="0"/>
        <w:spacing w:after="0" w:line="240" w:lineRule="auto"/>
        <w:ind w:right="-180"/>
        <w:jc w:val="both"/>
        <w:rPr>
          <w:rFonts w:ascii="Times New Roman" w:hAnsi="Times New Roman" w:cs="Times New Roman"/>
          <w:sz w:val="28"/>
          <w:szCs w:val="28"/>
        </w:rPr>
      </w:pPr>
    </w:p>
    <w:p w:rsidR="008C67D6" w:rsidRDefault="008C67D6">
      <w:pPr>
        <w:tabs>
          <w:tab w:val="left" w:pos="0"/>
          <w:tab w:val="left" w:pos="10440"/>
        </w:tabs>
        <w:autoSpaceDE w:val="0"/>
        <w:autoSpaceDN w:val="0"/>
        <w:adjustRightInd w:val="0"/>
        <w:spacing w:after="0" w:line="240" w:lineRule="auto"/>
        <w:ind w:right="-180"/>
        <w:jc w:val="both"/>
        <w:rPr>
          <w:rFonts w:ascii="Times New Roman" w:hAnsi="Times New Roman" w:cs="Times New Roman"/>
          <w:sz w:val="28"/>
          <w:szCs w:val="28"/>
        </w:rPr>
      </w:pPr>
    </w:p>
    <w:p w:rsidR="008C67D6" w:rsidRDefault="008C67D6">
      <w:pPr>
        <w:tabs>
          <w:tab w:val="left" w:pos="0"/>
          <w:tab w:val="left" w:pos="10440"/>
        </w:tabs>
        <w:autoSpaceDE w:val="0"/>
        <w:autoSpaceDN w:val="0"/>
        <w:adjustRightInd w:val="0"/>
        <w:spacing w:after="0" w:line="240" w:lineRule="auto"/>
        <w:ind w:right="-180"/>
        <w:jc w:val="both"/>
        <w:rPr>
          <w:rFonts w:ascii="Times New Roman" w:hAnsi="Times New Roman" w:cs="Times New Roman"/>
          <w:sz w:val="28"/>
          <w:szCs w:val="28"/>
        </w:rPr>
      </w:pPr>
    </w:p>
    <w:p w:rsidR="008C67D6" w:rsidRDefault="008C67D6">
      <w:pPr>
        <w:tabs>
          <w:tab w:val="left" w:pos="0"/>
          <w:tab w:val="left" w:pos="10440"/>
        </w:tabs>
        <w:autoSpaceDE w:val="0"/>
        <w:autoSpaceDN w:val="0"/>
        <w:adjustRightInd w:val="0"/>
        <w:spacing w:after="0" w:line="240" w:lineRule="auto"/>
        <w:ind w:right="-180"/>
        <w:jc w:val="both"/>
        <w:rPr>
          <w:rFonts w:ascii="Times New Roman" w:hAnsi="Times New Roman" w:cs="Times New Roman"/>
          <w:sz w:val="28"/>
          <w:szCs w:val="28"/>
        </w:rPr>
      </w:pPr>
    </w:p>
    <w:p w:rsidR="008C67D6" w:rsidRDefault="008C67D6">
      <w:pPr>
        <w:tabs>
          <w:tab w:val="left" w:pos="0"/>
          <w:tab w:val="left" w:pos="10440"/>
        </w:tabs>
        <w:autoSpaceDE w:val="0"/>
        <w:autoSpaceDN w:val="0"/>
        <w:adjustRightInd w:val="0"/>
        <w:spacing w:after="0" w:line="240" w:lineRule="auto"/>
        <w:ind w:right="-180"/>
        <w:jc w:val="both"/>
        <w:rPr>
          <w:rFonts w:ascii="Times New Roman" w:hAnsi="Times New Roman" w:cs="Times New Roman"/>
          <w:sz w:val="28"/>
          <w:szCs w:val="28"/>
        </w:rPr>
      </w:pPr>
    </w:p>
    <w:p w:rsidR="008C67D6" w:rsidRDefault="008C67D6">
      <w:pPr>
        <w:tabs>
          <w:tab w:val="left" w:pos="0"/>
          <w:tab w:val="left" w:pos="10440"/>
        </w:tabs>
        <w:autoSpaceDE w:val="0"/>
        <w:autoSpaceDN w:val="0"/>
        <w:adjustRightInd w:val="0"/>
        <w:spacing w:after="0" w:line="240" w:lineRule="auto"/>
        <w:ind w:right="-180"/>
        <w:jc w:val="both"/>
        <w:rPr>
          <w:rFonts w:ascii="Times New Roman" w:hAnsi="Times New Roman" w:cs="Times New Roman"/>
          <w:sz w:val="28"/>
          <w:szCs w:val="28"/>
        </w:rPr>
      </w:pPr>
    </w:p>
    <w:p w:rsidR="008C67D6" w:rsidRDefault="008C67D6">
      <w:pPr>
        <w:tabs>
          <w:tab w:val="left" w:pos="0"/>
          <w:tab w:val="left" w:pos="10440"/>
        </w:tabs>
        <w:autoSpaceDE w:val="0"/>
        <w:autoSpaceDN w:val="0"/>
        <w:adjustRightInd w:val="0"/>
        <w:spacing w:after="0" w:line="240" w:lineRule="auto"/>
        <w:ind w:right="-180"/>
        <w:jc w:val="both"/>
        <w:rPr>
          <w:rFonts w:ascii="Times New Roman" w:hAnsi="Times New Roman" w:cs="Times New Roman"/>
          <w:sz w:val="28"/>
          <w:szCs w:val="28"/>
        </w:rPr>
      </w:pPr>
    </w:p>
    <w:p w:rsidR="008C67D6" w:rsidRDefault="008C67D6">
      <w:pPr>
        <w:tabs>
          <w:tab w:val="left" w:pos="0"/>
          <w:tab w:val="left" w:pos="10440"/>
        </w:tabs>
        <w:autoSpaceDE w:val="0"/>
        <w:autoSpaceDN w:val="0"/>
        <w:adjustRightInd w:val="0"/>
        <w:spacing w:after="0" w:line="240" w:lineRule="auto"/>
        <w:ind w:right="-180"/>
        <w:jc w:val="both"/>
        <w:rPr>
          <w:rFonts w:ascii="Times New Roman" w:hAnsi="Times New Roman" w:cs="Times New Roman"/>
          <w:sz w:val="28"/>
          <w:szCs w:val="28"/>
        </w:rPr>
      </w:pPr>
    </w:p>
    <w:p w:rsidR="008C67D6" w:rsidRDefault="008C67D6">
      <w:pPr>
        <w:tabs>
          <w:tab w:val="left" w:pos="0"/>
          <w:tab w:val="left" w:pos="10440"/>
        </w:tabs>
        <w:autoSpaceDE w:val="0"/>
        <w:autoSpaceDN w:val="0"/>
        <w:adjustRightInd w:val="0"/>
        <w:spacing w:after="0" w:line="240" w:lineRule="auto"/>
        <w:ind w:right="-180"/>
        <w:jc w:val="both"/>
        <w:rPr>
          <w:rFonts w:ascii="Times New Roman" w:hAnsi="Times New Roman" w:cs="Times New Roman"/>
          <w:sz w:val="28"/>
          <w:szCs w:val="28"/>
        </w:rPr>
      </w:pPr>
    </w:p>
    <w:p w:rsidR="004013A4" w:rsidRDefault="004533DF">
      <w:pPr>
        <w:tabs>
          <w:tab w:val="left" w:pos="0"/>
          <w:tab w:val="left" w:pos="10440"/>
        </w:tabs>
        <w:autoSpaceDE w:val="0"/>
        <w:autoSpaceDN w:val="0"/>
        <w:adjustRightInd w:val="0"/>
        <w:spacing w:after="0" w:line="240" w:lineRule="auto"/>
        <w:ind w:right="-180"/>
        <w:jc w:val="both"/>
        <w:rPr>
          <w:rFonts w:ascii="Times New Roman" w:hAnsi="Times New Roman" w:cs="Times New Roman"/>
          <w:sz w:val="28"/>
          <w:szCs w:val="28"/>
        </w:rPr>
      </w:pPr>
      <w:r>
        <w:rPr>
          <w:rFonts w:ascii="Times New Roman" w:hAnsi="Times New Roman" w:cs="Times New Roman"/>
          <w:sz w:val="28"/>
          <w:szCs w:val="28"/>
        </w:rPr>
        <w:t xml:space="preserve">                                              </w:t>
      </w:r>
    </w:p>
    <w:p w:rsidR="004013A4" w:rsidRDefault="004013A4">
      <w:pPr>
        <w:tabs>
          <w:tab w:val="left" w:pos="0"/>
          <w:tab w:val="left" w:pos="10440"/>
        </w:tabs>
        <w:autoSpaceDE w:val="0"/>
        <w:autoSpaceDN w:val="0"/>
        <w:adjustRightInd w:val="0"/>
        <w:spacing w:after="0" w:line="240" w:lineRule="auto"/>
        <w:ind w:right="-180"/>
        <w:jc w:val="both"/>
        <w:rPr>
          <w:rFonts w:ascii="Times New Roman" w:hAnsi="Times New Roman" w:cs="Times New Roman"/>
          <w:sz w:val="28"/>
          <w:szCs w:val="28"/>
        </w:rPr>
      </w:pPr>
    </w:p>
    <w:p w:rsidR="00136AA4" w:rsidRDefault="004013A4">
      <w:pPr>
        <w:tabs>
          <w:tab w:val="left" w:pos="0"/>
          <w:tab w:val="left" w:pos="10440"/>
        </w:tabs>
        <w:autoSpaceDE w:val="0"/>
        <w:autoSpaceDN w:val="0"/>
        <w:adjustRightInd w:val="0"/>
        <w:spacing w:after="0" w:line="240" w:lineRule="auto"/>
        <w:ind w:right="-180"/>
        <w:jc w:val="both"/>
        <w:rPr>
          <w:rFonts w:ascii="Times New Roman" w:hAnsi="Times New Roman" w:cs="Times New Roman"/>
          <w:sz w:val="28"/>
          <w:szCs w:val="28"/>
        </w:rPr>
      </w:pPr>
      <w:r>
        <w:rPr>
          <w:rFonts w:ascii="Times New Roman" w:hAnsi="Times New Roman" w:cs="Times New Roman"/>
          <w:sz w:val="28"/>
          <w:szCs w:val="28"/>
        </w:rPr>
        <w:t xml:space="preserve">                                            </w:t>
      </w:r>
    </w:p>
    <w:p w:rsidR="008F4610" w:rsidRDefault="008F4610">
      <w:pPr>
        <w:tabs>
          <w:tab w:val="left" w:pos="0"/>
          <w:tab w:val="left" w:pos="10440"/>
        </w:tabs>
        <w:autoSpaceDE w:val="0"/>
        <w:autoSpaceDN w:val="0"/>
        <w:adjustRightInd w:val="0"/>
        <w:spacing w:after="0" w:line="240" w:lineRule="auto"/>
        <w:ind w:right="-18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8C67D6" w:rsidRDefault="008F4610">
      <w:pPr>
        <w:tabs>
          <w:tab w:val="left" w:pos="0"/>
          <w:tab w:val="left" w:pos="10440"/>
        </w:tabs>
        <w:autoSpaceDE w:val="0"/>
        <w:autoSpaceDN w:val="0"/>
        <w:adjustRightInd w:val="0"/>
        <w:spacing w:after="0" w:line="240" w:lineRule="auto"/>
        <w:ind w:right="-180"/>
        <w:jc w:val="both"/>
        <w:rPr>
          <w:rFonts w:ascii="Times New Roman" w:hAnsi="Times New Roman" w:cs="Times New Roman"/>
          <w:sz w:val="28"/>
          <w:szCs w:val="28"/>
        </w:rPr>
      </w:pPr>
      <w:r>
        <w:rPr>
          <w:rFonts w:ascii="Times New Roman" w:hAnsi="Times New Roman" w:cs="Times New Roman"/>
          <w:sz w:val="28"/>
          <w:szCs w:val="28"/>
        </w:rPr>
        <w:t xml:space="preserve">                                            </w:t>
      </w:r>
      <w:r w:rsidR="00545BEA">
        <w:rPr>
          <w:rFonts w:ascii="Times New Roman" w:hAnsi="Times New Roman" w:cs="Times New Roman"/>
          <w:sz w:val="28"/>
          <w:szCs w:val="28"/>
        </w:rPr>
        <w:t xml:space="preserve"> </w:t>
      </w:r>
      <w:r>
        <w:rPr>
          <w:rFonts w:ascii="Times New Roman" w:hAnsi="Times New Roman" w:cs="Times New Roman"/>
          <w:sz w:val="28"/>
          <w:szCs w:val="28"/>
        </w:rPr>
        <w:t xml:space="preserve"> </w:t>
      </w:r>
      <w:r w:rsidR="004533DF">
        <w:rPr>
          <w:rFonts w:ascii="Times New Roman" w:hAnsi="Times New Roman" w:cs="Times New Roman"/>
          <w:sz w:val="28"/>
          <w:szCs w:val="28"/>
        </w:rPr>
        <w:t xml:space="preserve"> INTRODUCTION </w:t>
      </w:r>
    </w:p>
    <w:p w:rsidR="008C67D6" w:rsidRDefault="008C67D6">
      <w:pPr>
        <w:tabs>
          <w:tab w:val="left" w:pos="0"/>
          <w:tab w:val="left" w:pos="10440"/>
        </w:tabs>
        <w:autoSpaceDE w:val="0"/>
        <w:autoSpaceDN w:val="0"/>
        <w:adjustRightInd w:val="0"/>
        <w:spacing w:after="0" w:line="240" w:lineRule="auto"/>
        <w:ind w:right="-180"/>
        <w:jc w:val="both"/>
        <w:rPr>
          <w:rFonts w:ascii="Times New Roman" w:hAnsi="Times New Roman" w:cs="Times New Roman"/>
          <w:sz w:val="28"/>
          <w:szCs w:val="28"/>
        </w:rPr>
      </w:pPr>
    </w:p>
    <w:p w:rsidR="008C67D6" w:rsidRDefault="008C67D6">
      <w:pPr>
        <w:tabs>
          <w:tab w:val="left" w:pos="0"/>
          <w:tab w:val="left" w:pos="10440"/>
        </w:tabs>
        <w:autoSpaceDE w:val="0"/>
        <w:autoSpaceDN w:val="0"/>
        <w:adjustRightInd w:val="0"/>
        <w:spacing w:after="0" w:line="240" w:lineRule="auto"/>
        <w:ind w:right="-180"/>
        <w:jc w:val="both"/>
        <w:rPr>
          <w:rFonts w:ascii="Times New Roman" w:hAnsi="Times New Roman" w:cs="Times New Roman"/>
          <w:sz w:val="28"/>
          <w:szCs w:val="28"/>
        </w:rPr>
      </w:pPr>
    </w:p>
    <w:p w:rsidR="008E3194" w:rsidRDefault="008C5FD8">
      <w:pPr>
        <w:tabs>
          <w:tab w:val="left" w:pos="0"/>
          <w:tab w:val="left" w:pos="10440"/>
        </w:tabs>
        <w:autoSpaceDE w:val="0"/>
        <w:autoSpaceDN w:val="0"/>
        <w:adjustRightInd w:val="0"/>
        <w:spacing w:after="0" w:line="240" w:lineRule="auto"/>
        <w:ind w:right="-180"/>
        <w:jc w:val="both"/>
        <w:rPr>
          <w:rFonts w:ascii="Times New Roman" w:hAnsi="Times New Roman" w:cs="Times New Roman"/>
          <w:sz w:val="28"/>
          <w:szCs w:val="28"/>
        </w:rPr>
      </w:pPr>
      <w:r>
        <w:rPr>
          <w:rFonts w:ascii="Times New Roman" w:hAnsi="Times New Roman" w:cs="Times New Roman"/>
          <w:sz w:val="28"/>
          <w:szCs w:val="28"/>
        </w:rPr>
        <w:t xml:space="preserve"> </w:t>
      </w:r>
    </w:p>
    <w:p w:rsidR="006F7DA9" w:rsidRDefault="008F4610">
      <w:pPr>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The mandibular canal is an important landmark</w:t>
      </w:r>
      <w:r w:rsidR="006F7DA9">
        <w:rPr>
          <w:rFonts w:ascii="Times New Roman" w:eastAsia="Times New Roman" w:hAnsi="Times New Roman" w:cs="Times New Roman"/>
          <w:color w:val="231F20"/>
          <w:sz w:val="24"/>
          <w:szCs w:val="24"/>
        </w:rPr>
        <w:t>.</w:t>
      </w:r>
      <w:r w:rsidR="009C25E3">
        <w:rPr>
          <w:rFonts w:ascii="Times New Roman" w:eastAsia="Times New Roman" w:hAnsi="Times New Roman" w:cs="Times New Roman"/>
          <w:color w:val="231F20"/>
          <w:sz w:val="24"/>
          <w:szCs w:val="24"/>
          <w:vertAlign w:val="superscript"/>
        </w:rPr>
        <w:t>1</w:t>
      </w:r>
      <w:r w:rsidR="006F7DA9">
        <w:rPr>
          <w:rFonts w:ascii="Times New Roman" w:eastAsia="Times New Roman" w:hAnsi="Times New Roman" w:cs="Times New Roman"/>
          <w:color w:val="231F20"/>
          <w:sz w:val="24"/>
          <w:szCs w:val="24"/>
        </w:rPr>
        <w:t xml:space="preserve"> The extent is within the mandible and extends from mandibular foramen from which it courses obliquely in the mandibular ramus forward and downward also runs horizontal in the body before opening into the mental foramen. This canal which is also known as inferior </w:t>
      </w:r>
      <w:r w:rsidR="00545BEA">
        <w:rPr>
          <w:rFonts w:ascii="Times New Roman" w:eastAsia="Times New Roman" w:hAnsi="Times New Roman" w:cs="Times New Roman"/>
          <w:color w:val="231F20"/>
          <w:sz w:val="24"/>
          <w:szCs w:val="24"/>
        </w:rPr>
        <w:t>alveolar canal includes inferior alveolar nerve,vein, artery and lymphatic vessels.</w:t>
      </w:r>
      <w:r w:rsidR="00425257">
        <w:rPr>
          <w:rFonts w:ascii="Times New Roman" w:eastAsia="Times New Roman" w:hAnsi="Times New Roman" w:cs="Times New Roman"/>
          <w:color w:val="231F20"/>
          <w:sz w:val="24"/>
          <w:szCs w:val="24"/>
          <w:vertAlign w:val="superscript"/>
        </w:rPr>
        <w:t>2</w:t>
      </w:r>
      <w:r w:rsidR="00545BEA">
        <w:rPr>
          <w:rFonts w:ascii="Times New Roman" w:eastAsia="Times New Roman" w:hAnsi="Times New Roman" w:cs="Times New Roman"/>
          <w:color w:val="231F20"/>
          <w:sz w:val="24"/>
          <w:szCs w:val="24"/>
        </w:rPr>
        <w:t xml:space="preserve"> </w:t>
      </w:r>
    </w:p>
    <w:p w:rsidR="00545BEA" w:rsidRPr="00425257" w:rsidRDefault="00545BEA">
      <w:pPr>
        <w:jc w:val="both"/>
        <w:rPr>
          <w:rFonts w:ascii="Times New Roman" w:eastAsia="Times New Roman" w:hAnsi="Times New Roman" w:cs="Times New Roman"/>
          <w:color w:val="231F20"/>
          <w:sz w:val="24"/>
          <w:szCs w:val="24"/>
          <w:vertAlign w:val="superscript"/>
        </w:rPr>
      </w:pPr>
      <w:r>
        <w:rPr>
          <w:rFonts w:ascii="Times New Roman" w:eastAsia="Times New Roman" w:hAnsi="Times New Roman" w:cs="Times New Roman"/>
          <w:color w:val="231F20"/>
          <w:sz w:val="24"/>
          <w:szCs w:val="24"/>
        </w:rPr>
        <w:t>The location and</w:t>
      </w:r>
      <w:r w:rsidR="008E25E8">
        <w:rPr>
          <w:rFonts w:ascii="Times New Roman" w:eastAsia="Times New Roman" w:hAnsi="Times New Roman" w:cs="Times New Roman"/>
          <w:color w:val="231F20"/>
          <w:sz w:val="24"/>
          <w:szCs w:val="24"/>
        </w:rPr>
        <w:t xml:space="preserve"> deter</w:t>
      </w:r>
      <w:r>
        <w:rPr>
          <w:rFonts w:ascii="Times New Roman" w:eastAsia="Times New Roman" w:hAnsi="Times New Roman" w:cs="Times New Roman"/>
          <w:color w:val="231F20"/>
          <w:sz w:val="24"/>
          <w:szCs w:val="24"/>
        </w:rPr>
        <w:t>mination of mandibular canal is important to prevent complications during surgical procedures especially while placing implants ,osteotomies, third molar surgeryand repair of mandibular fractures.</w:t>
      </w:r>
      <w:r w:rsidR="00425257">
        <w:rPr>
          <w:rFonts w:ascii="Times New Roman" w:eastAsia="Times New Roman" w:hAnsi="Times New Roman" w:cs="Times New Roman"/>
          <w:color w:val="231F20"/>
          <w:sz w:val="24"/>
          <w:szCs w:val="24"/>
          <w:vertAlign w:val="superscript"/>
        </w:rPr>
        <w:t>2,3</w:t>
      </w:r>
    </w:p>
    <w:p w:rsidR="00545BEA" w:rsidRPr="00425257" w:rsidRDefault="00545BEA">
      <w:pPr>
        <w:jc w:val="both"/>
        <w:rPr>
          <w:rFonts w:ascii="Times New Roman" w:eastAsia="Times New Roman" w:hAnsi="Times New Roman" w:cs="Times New Roman"/>
          <w:color w:val="231F20"/>
          <w:sz w:val="24"/>
          <w:szCs w:val="24"/>
          <w:vertAlign w:val="superscript"/>
        </w:rPr>
      </w:pPr>
      <w:r>
        <w:rPr>
          <w:rFonts w:ascii="Times New Roman" w:eastAsia="Times New Roman" w:hAnsi="Times New Roman" w:cs="Times New Roman"/>
          <w:color w:val="231F20"/>
          <w:sz w:val="24"/>
          <w:szCs w:val="24"/>
        </w:rPr>
        <w:t xml:space="preserve">Radiographic determination is thus important diagnostic tool for localization of mandibular canal .various modalities </w:t>
      </w:r>
      <w:r w:rsidR="008E25E8">
        <w:rPr>
          <w:rFonts w:ascii="Times New Roman" w:eastAsia="Times New Roman" w:hAnsi="Times New Roman" w:cs="Times New Roman"/>
          <w:color w:val="231F20"/>
          <w:sz w:val="24"/>
          <w:szCs w:val="24"/>
        </w:rPr>
        <w:t xml:space="preserve">like panaromic radiography and conventional tomography (CT) have been in use with limitations pertaining to two dimentional images but with advancement of CBCT . The accuracy in determination of this canal has improved significantly . </w:t>
      </w:r>
      <w:r w:rsidR="00425257">
        <w:rPr>
          <w:rFonts w:ascii="Times New Roman" w:eastAsia="Times New Roman" w:hAnsi="Times New Roman" w:cs="Times New Roman"/>
          <w:color w:val="231F20"/>
          <w:sz w:val="24"/>
          <w:szCs w:val="24"/>
          <w:vertAlign w:val="superscript"/>
        </w:rPr>
        <w:t>3,4</w:t>
      </w:r>
    </w:p>
    <w:p w:rsidR="003E0764" w:rsidRPr="006A08E1" w:rsidRDefault="008E25E8" w:rsidP="008E3194">
      <w:pPr>
        <w:jc w:val="both"/>
        <w:rPr>
          <w:rFonts w:ascii="Times New Roman" w:eastAsia="Times New Roman" w:hAnsi="Times New Roman" w:cs="Times New Roman"/>
          <w:color w:val="231F20"/>
          <w:sz w:val="24"/>
          <w:szCs w:val="24"/>
          <w:vertAlign w:val="superscript"/>
        </w:rPr>
      </w:pPr>
      <w:r>
        <w:rPr>
          <w:rFonts w:ascii="Times New Roman" w:eastAsia="Times New Roman" w:hAnsi="Times New Roman" w:cs="Times New Roman"/>
          <w:color w:val="231F20"/>
          <w:sz w:val="24"/>
          <w:szCs w:val="24"/>
        </w:rPr>
        <w:t>The distinguishing of structure is still requires the ex</w:t>
      </w:r>
      <w:r w:rsidR="00425257">
        <w:rPr>
          <w:rFonts w:ascii="Times New Roman" w:eastAsia="Times New Roman" w:hAnsi="Times New Roman" w:cs="Times New Roman"/>
          <w:color w:val="231F20"/>
          <w:sz w:val="24"/>
          <w:szCs w:val="24"/>
        </w:rPr>
        <w:t xml:space="preserve">pertise of operator and thus </w:t>
      </w:r>
      <w:r>
        <w:rPr>
          <w:rFonts w:ascii="Times New Roman" w:eastAsia="Times New Roman" w:hAnsi="Times New Roman" w:cs="Times New Roman"/>
          <w:color w:val="231F20"/>
          <w:sz w:val="24"/>
          <w:szCs w:val="24"/>
        </w:rPr>
        <w:t xml:space="preserve"> still in determination of this canal can also vary from</w:t>
      </w:r>
      <w:r w:rsidR="00EA7D08">
        <w:rPr>
          <w:rFonts w:ascii="Times New Roman" w:eastAsia="Times New Roman" w:hAnsi="Times New Roman" w:cs="Times New Roman"/>
          <w:color w:val="231F20"/>
          <w:sz w:val="24"/>
          <w:szCs w:val="24"/>
        </w:rPr>
        <w:t xml:space="preserve"> person to person . Thus it is important to recognize the anatomically variability of the canal</w:t>
      </w:r>
      <w:r w:rsidR="008E3194">
        <w:rPr>
          <w:rFonts w:ascii="Times New Roman" w:eastAsia="Times New Roman" w:hAnsi="Times New Roman" w:cs="Times New Roman"/>
          <w:color w:val="231F20"/>
          <w:sz w:val="24"/>
          <w:szCs w:val="24"/>
        </w:rPr>
        <w:t xml:space="preserve"> while depiction and understanding of variat</w:t>
      </w:r>
      <w:r w:rsidR="006A08E1">
        <w:rPr>
          <w:rFonts w:ascii="Times New Roman" w:eastAsia="Times New Roman" w:hAnsi="Times New Roman" w:cs="Times New Roman"/>
          <w:color w:val="231F20"/>
          <w:sz w:val="24"/>
          <w:szCs w:val="24"/>
        </w:rPr>
        <w:t>ion in the course of this canal</w:t>
      </w:r>
      <w:r w:rsidR="008E3194">
        <w:rPr>
          <w:rFonts w:ascii="Times New Roman" w:eastAsia="Times New Roman" w:hAnsi="Times New Roman" w:cs="Times New Roman"/>
          <w:color w:val="231F20"/>
          <w:sz w:val="24"/>
          <w:szCs w:val="24"/>
        </w:rPr>
        <w:t>.</w:t>
      </w:r>
      <w:r w:rsidR="006A08E1">
        <w:rPr>
          <w:rFonts w:ascii="Times New Roman" w:eastAsia="Times New Roman" w:hAnsi="Times New Roman" w:cs="Times New Roman"/>
          <w:color w:val="231F20"/>
          <w:sz w:val="24"/>
          <w:szCs w:val="24"/>
          <w:vertAlign w:val="superscript"/>
        </w:rPr>
        <w:t>1</w:t>
      </w:r>
    </w:p>
    <w:p w:rsidR="008C67D6" w:rsidRPr="003E0764" w:rsidRDefault="004533DF" w:rsidP="003E0764">
      <w:pPr>
        <w:rPr>
          <w:rFonts w:ascii="Times-Roman" w:eastAsia="Times New Roman" w:hAnsi="Times-Roman" w:cs="Times New Roman"/>
          <w:color w:val="000000"/>
          <w:sz w:val="24"/>
          <w:szCs w:val="24"/>
          <w:vertAlign w:val="superscript"/>
        </w:rPr>
      </w:pPr>
      <w:r>
        <w:rPr>
          <w:rFonts w:ascii="Times New Roman" w:eastAsia="Times New Roman" w:hAnsi="Times New Roman" w:cs="Times New Roman"/>
          <w:color w:val="231F20"/>
          <w:sz w:val="24"/>
          <w:szCs w:val="24"/>
        </w:rPr>
        <w:t>Therefore</w:t>
      </w:r>
      <w:r w:rsidR="008E3194">
        <w:rPr>
          <w:rFonts w:ascii="Times New Roman" w:eastAsia="Times New Roman" w:hAnsi="Times New Roman" w:cs="Times New Roman"/>
          <w:color w:val="231F20"/>
          <w:sz w:val="24"/>
          <w:szCs w:val="24"/>
        </w:rPr>
        <w:t xml:space="preserve"> this study was carried out with</w:t>
      </w:r>
      <w:r>
        <w:rPr>
          <w:rFonts w:ascii="Times New Roman" w:eastAsia="Times New Roman" w:hAnsi="Times New Roman" w:cs="Times New Roman"/>
          <w:color w:val="231F20"/>
          <w:sz w:val="24"/>
          <w:szCs w:val="24"/>
        </w:rPr>
        <w:t xml:space="preserve"> the aim of study is to </w:t>
      </w:r>
      <w:r>
        <w:rPr>
          <w:rFonts w:ascii="Times New Roman" w:hAnsi="Times New Roman" w:cs="Times New Roman"/>
          <w:bCs/>
          <w:sz w:val="24"/>
          <w:szCs w:val="24"/>
        </w:rPr>
        <w:t>assess the visibility of MC in different regions using CBCT and OPG images and compare them.</w:t>
      </w:r>
    </w:p>
    <w:p w:rsidR="008C67D6" w:rsidRDefault="004533DF">
      <w:pPr>
        <w:rPr>
          <w:rFonts w:ascii="Verdana-Bold" w:hAnsi="Verdana-Bold"/>
          <w:b/>
          <w:bCs/>
          <w:color w:val="000000" w:themeColor="text1"/>
        </w:rPr>
      </w:pPr>
      <w:r>
        <w:rPr>
          <w:rFonts w:ascii="Verdana-Bold" w:hAnsi="Verdana-Bold"/>
          <w:b/>
          <w:bCs/>
          <w:color w:val="000000" w:themeColor="text1"/>
        </w:rPr>
        <w:t>Material and Method</w:t>
      </w:r>
    </w:p>
    <w:p w:rsidR="00E7413C" w:rsidRDefault="004533DF">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The study sample consisted of 30 CBCT scans.</w:t>
      </w:r>
      <w:r w:rsidR="00623003">
        <w:rPr>
          <w:rFonts w:ascii="Times New Roman" w:eastAsia="Times New Roman" w:hAnsi="Times New Roman" w:cs="Times New Roman"/>
          <w:color w:val="000000" w:themeColor="text1"/>
          <w:sz w:val="24"/>
          <w:szCs w:val="24"/>
        </w:rPr>
        <w:t xml:space="preserve"> </w:t>
      </w:r>
      <w:r>
        <w:rPr>
          <w:rFonts w:ascii="Times-Roman" w:eastAsia="Times New Roman" w:hAnsi="Times-Roman" w:cs="Times New Roman"/>
          <w:color w:val="000000"/>
          <w:sz w:val="24"/>
          <w:szCs w:val="24"/>
        </w:rPr>
        <w:t>The samples were chosen randomly from patients who visited Shree Bankey Bihari Dental College and Research Center, masuri, Ghaziabadand underwent  panoramic radiography as</w:t>
      </w:r>
      <w:r>
        <w:rPr>
          <w:rFonts w:ascii="Times-Roman" w:eastAsia="Times New Roman" w:hAnsi="Times-Roman" w:cs="Times New Roman"/>
          <w:color w:val="000000"/>
          <w:sz w:val="21"/>
          <w:szCs w:val="21"/>
        </w:rPr>
        <w:t xml:space="preserve"> well as CBCT in 2021.The </w:t>
      </w:r>
      <w:r>
        <w:rPr>
          <w:rFonts w:ascii="Times New Roman" w:eastAsia="Times New Roman" w:hAnsi="Times New Roman" w:cs="Times New Roman"/>
          <w:color w:val="000000"/>
          <w:sz w:val="24"/>
          <w:szCs w:val="24"/>
        </w:rPr>
        <w:t>CBCT scans had been taken as part of a clinical diagnostic procedure for various reasons, such as implant placement, extraction of the third molar, or orthodontic treatment planning.</w:t>
      </w:r>
      <w:r>
        <w:rPr>
          <w:rFonts w:ascii="Times New Roman" w:eastAsia="Times New Roman" w:hAnsi="Times New Roman" w:cs="Times New Roman"/>
          <w:color w:val="000000" w:themeColor="text1"/>
          <w:sz w:val="24"/>
          <w:szCs w:val="24"/>
        </w:rPr>
        <w:t xml:space="preserve"> The selection of patients age was above 17 years old .</w:t>
      </w:r>
      <w:r>
        <w:rPr>
          <w:rFonts w:ascii="Times New Roman" w:eastAsia="Times New Roman" w:hAnsi="Times New Roman" w:cs="Times New Roman"/>
          <w:color w:val="000000" w:themeColor="text1"/>
          <w:sz w:val="24"/>
          <w:szCs w:val="24"/>
        </w:rPr>
        <w:cr/>
        <w:t>These images were taken with a dig</w:t>
      </w:r>
      <w:r w:rsidR="00E2040A">
        <w:rPr>
          <w:rFonts w:ascii="Times New Roman" w:eastAsia="Times New Roman" w:hAnsi="Times New Roman" w:cs="Times New Roman"/>
          <w:color w:val="000000" w:themeColor="text1"/>
          <w:sz w:val="24"/>
          <w:szCs w:val="24"/>
        </w:rPr>
        <w:t xml:space="preserve">ital panoramic and CBCT system </w:t>
      </w:r>
      <w:r>
        <w:rPr>
          <w:rFonts w:ascii="Times New Roman" w:eastAsia="Times New Roman" w:hAnsi="Times New Roman" w:cs="Times New Roman"/>
          <w:color w:val="000000" w:themeColor="text1"/>
          <w:sz w:val="24"/>
          <w:szCs w:val="24"/>
        </w:rPr>
        <w:t xml:space="preserve">(VATECH SMARTPLUS) under standard exposure </w:t>
      </w:r>
      <w:r w:rsidR="00E7413C">
        <w:rPr>
          <w:rFonts w:ascii="Times New Roman" w:eastAsia="Times New Roman" w:hAnsi="Times New Roman" w:cs="Times New Roman"/>
          <w:color w:val="000000" w:themeColor="text1"/>
          <w:sz w:val="24"/>
          <w:szCs w:val="24"/>
        </w:rPr>
        <w:t>factors (75-95kvp).</w:t>
      </w:r>
    </w:p>
    <w:p w:rsidR="00B824BE" w:rsidRDefault="004533DF">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Inclusion criteria: </w:t>
      </w:r>
      <w:r>
        <w:rPr>
          <w:rFonts w:ascii="Times New Roman" w:eastAsia="Times New Roman" w:hAnsi="Times New Roman" w:cs="Times New Roman"/>
          <w:color w:val="000000" w:themeColor="text1"/>
          <w:sz w:val="24"/>
          <w:szCs w:val="24"/>
        </w:rPr>
        <w:cr/>
        <w:t>1- Good image quality.</w:t>
      </w:r>
      <w:r w:rsidR="00B824BE">
        <w:rPr>
          <w:rFonts w:ascii="Times New Roman" w:eastAsia="Times New Roman" w:hAnsi="Times New Roman" w:cs="Times New Roman"/>
          <w:color w:val="000000" w:themeColor="text1"/>
          <w:sz w:val="24"/>
          <w:szCs w:val="24"/>
        </w:rPr>
        <w:t xml:space="preserve"> </w:t>
      </w:r>
    </w:p>
    <w:p w:rsidR="00E7413C" w:rsidRDefault="004533DF">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 All teeth should be present at that re</w:t>
      </w:r>
      <w:r w:rsidR="00076645">
        <w:rPr>
          <w:rFonts w:ascii="Times New Roman" w:eastAsia="Times New Roman" w:hAnsi="Times New Roman" w:cs="Times New Roman"/>
          <w:color w:val="000000" w:themeColor="text1"/>
          <w:sz w:val="24"/>
          <w:szCs w:val="24"/>
        </w:rPr>
        <w:t>gion</w:t>
      </w:r>
      <w:r w:rsidR="00076645">
        <w:rPr>
          <w:rFonts w:ascii="Times New Roman" w:eastAsia="Times New Roman" w:hAnsi="Times New Roman" w:cs="Times New Roman"/>
          <w:color w:val="000000" w:themeColor="text1"/>
          <w:sz w:val="24"/>
          <w:szCs w:val="24"/>
        </w:rPr>
        <w:cr/>
      </w:r>
      <w:r w:rsidR="00076645">
        <w:rPr>
          <w:rFonts w:ascii="Times New Roman" w:eastAsia="Times New Roman" w:hAnsi="Times New Roman" w:cs="Times New Roman"/>
          <w:color w:val="000000" w:themeColor="text1"/>
          <w:sz w:val="24"/>
          <w:szCs w:val="24"/>
        </w:rPr>
        <w:cr/>
      </w:r>
    </w:p>
    <w:p w:rsidR="008C67D6" w:rsidRPr="00E7413C" w:rsidRDefault="00076645">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 Exclusion criteria:</w:t>
      </w:r>
      <w:r>
        <w:rPr>
          <w:rFonts w:ascii="Times New Roman" w:eastAsia="Times New Roman" w:hAnsi="Times New Roman" w:cs="Times New Roman"/>
          <w:color w:val="000000" w:themeColor="text1"/>
          <w:sz w:val="24"/>
          <w:szCs w:val="24"/>
        </w:rPr>
        <w:cr/>
        <w:t xml:space="preserve">1- </w:t>
      </w:r>
      <w:r w:rsidR="004533DF">
        <w:rPr>
          <w:rFonts w:ascii="Times New Roman" w:eastAsia="Times New Roman" w:hAnsi="Times New Roman" w:cs="Times New Roman"/>
          <w:color w:val="000000" w:themeColor="text1"/>
          <w:sz w:val="24"/>
          <w:szCs w:val="24"/>
        </w:rPr>
        <w:t xml:space="preserve"> pathological lesion and </w:t>
      </w:r>
      <w:r>
        <w:rPr>
          <w:rFonts w:ascii="Times New Roman" w:eastAsia="Times New Roman" w:hAnsi="Times New Roman" w:cs="Times New Roman"/>
          <w:color w:val="000000" w:themeColor="text1"/>
          <w:sz w:val="24"/>
          <w:szCs w:val="24"/>
        </w:rPr>
        <w:t xml:space="preserve">fracture of the mandible. </w:t>
      </w:r>
      <w:r>
        <w:rPr>
          <w:rFonts w:ascii="Times New Roman" w:eastAsia="Times New Roman" w:hAnsi="Times New Roman" w:cs="Times New Roman"/>
          <w:color w:val="000000" w:themeColor="text1"/>
          <w:sz w:val="24"/>
          <w:szCs w:val="24"/>
        </w:rPr>
        <w:cr/>
        <w:t xml:space="preserve">2- </w:t>
      </w:r>
      <w:r w:rsidR="004533DF">
        <w:rPr>
          <w:rFonts w:ascii="Times New Roman" w:eastAsia="Times New Roman" w:hAnsi="Times New Roman" w:cs="Times New Roman"/>
          <w:color w:val="000000" w:themeColor="text1"/>
          <w:sz w:val="24"/>
          <w:szCs w:val="24"/>
        </w:rPr>
        <w:t xml:space="preserve"> implant and missing teeth in the posterior part of the mandible except the third  molar.</w:t>
      </w:r>
      <w:r w:rsidR="004533DF">
        <w:rPr>
          <w:rFonts w:ascii="Times New Roman" w:eastAsia="Times New Roman" w:hAnsi="Times New Roman" w:cs="Times New Roman"/>
          <w:color w:val="000000" w:themeColor="text1"/>
          <w:sz w:val="24"/>
          <w:szCs w:val="24"/>
        </w:rPr>
        <w:cr/>
      </w:r>
    </w:p>
    <w:p w:rsidR="008C67D6" w:rsidRDefault="004533DF">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The readings were achieved at different mandibular regions; second  premolar  (A), first molar (B), second molar (C) and distal  to the second molar  (D)  .The readings were recorded by two different observers.</w:t>
      </w:r>
      <w:r>
        <w:rPr>
          <w:rFonts w:ascii="Times New Roman" w:hAnsi="Times New Roman" w:cs="Times New Roman"/>
          <w:bCs/>
          <w:color w:val="000000" w:themeColor="text1"/>
          <w:sz w:val="24"/>
          <w:szCs w:val="24"/>
        </w:rPr>
        <w:cr/>
        <w:t>The readings were measured from the alveolar crest to upper border of mandibular canal.</w:t>
      </w:r>
      <w:r w:rsidR="00CF0134">
        <w:rPr>
          <w:rFonts w:ascii="Times New Roman" w:hAnsi="Times New Roman" w:cs="Times New Roman"/>
          <w:bCs/>
          <w:color w:val="000000" w:themeColor="text1"/>
          <w:sz w:val="24"/>
          <w:szCs w:val="24"/>
        </w:rPr>
        <w:t xml:space="preserve"> </w:t>
      </w:r>
      <w:r>
        <w:rPr>
          <w:rFonts w:ascii="Times New Roman" w:eastAsia="Times New Roman" w:hAnsi="Times New Roman" w:cs="Times New Roman"/>
          <w:color w:val="000000" w:themeColor="text1"/>
          <w:sz w:val="24"/>
          <w:szCs w:val="24"/>
        </w:rPr>
        <w:t>The visibility of the MC in CBCT and OPG, determined by the ability of the observer to differentiate the MC from the surrounding bone, was registered as either clear (C) or unclear (UC). The data of each examined area were clustered together and the visibility was compared according to the imaging modality (CBCT and OPG)</w:t>
      </w:r>
      <w:r>
        <w:rPr>
          <w:rFonts w:ascii="Times New Roman" w:eastAsia="Times New Roman" w:hAnsi="Times New Roman" w:cs="Times New Roman"/>
          <w:color w:val="000000" w:themeColor="text1"/>
          <w:sz w:val="24"/>
          <w:szCs w:val="24"/>
        </w:rPr>
        <w:cr/>
      </w:r>
    </w:p>
    <w:p w:rsidR="008C67D6" w:rsidRDefault="004533DF">
      <w:pPr>
        <w:tabs>
          <w:tab w:val="left" w:pos="0"/>
          <w:tab w:val="left" w:pos="10440"/>
        </w:tabs>
        <w:autoSpaceDE w:val="0"/>
        <w:autoSpaceDN w:val="0"/>
        <w:adjustRightInd w:val="0"/>
        <w:spacing w:after="0" w:line="240" w:lineRule="auto"/>
        <w:ind w:right="-18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noProof/>
          <w:color w:val="000000" w:themeColor="text1"/>
          <w:sz w:val="24"/>
          <w:szCs w:val="24"/>
          <w:vertAlign w:val="superscript"/>
        </w:rPr>
        <w:drawing>
          <wp:inline distT="0" distB="0" distL="0" distR="0">
            <wp:extent cx="5943600" cy="298450"/>
            <wp:effectExtent l="0" t="0" r="0" b="0"/>
            <wp:docPr id="2" name="Object 1"/>
            <wp:cNvGraphicFramePr/>
            <a:graphic xmlns:a="http://schemas.openxmlformats.org/drawingml/2006/main">
              <a:graphicData uri="http://schemas.openxmlformats.org/drawingml/2006/lockedCanvas">
                <lc:lockedCanvas xmlns:lc="http://schemas.openxmlformats.org/drawingml/2006/lockedCanvas">
                  <a:nvGrpSpPr>
                    <a:cNvPr id="1" name="Group 0"/>
                    <a:cNvGrpSpPr/>
                  </a:nvGrpSpPr>
                  <a:grpSpPr>
                    <a:xfrm>
                      <a:off x="0" y="0"/>
                      <a:ext cx="9201150" cy="461665"/>
                      <a:chOff x="609600" y="1295400"/>
                      <a:chExt cx="9201150" cy="461665"/>
                    </a:xfrm>
                  </a:grpSpPr>
                  <a:sp>
                    <a:nvSpPr>
                      <a:cNvPr id="3" name="Rectangle 2"/>
                      <a:cNvSpPr/>
                    </a:nvSpPr>
                    <a:spPr>
                      <a:xfrm>
                        <a:off x="609600" y="1295400"/>
                        <a:ext cx="9201150" cy="461665"/>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buFont typeface="Wingdings" panose="05000000000000000000" charset="2"/>
                            <a:buChar char="Ø"/>
                          </a:pPr>
                          <a:r>
                            <a:rPr lang="en-US" sz="2400" dirty="0" smtClean="0">
                              <a:solidFill>
                                <a:schemeClr val="bg1"/>
                              </a:solidFill>
                            </a:rPr>
                            <a:t> The study sample consisted of 30 CBCT scans </a:t>
                          </a:r>
                          <a:endParaRPr lang="en-US" sz="2400" dirty="0" smtClean="0">
                            <a:solidFill>
                              <a:schemeClr val="bg1"/>
                            </a:solidFill>
                          </a:endParaRPr>
                        </a:p>
                      </a:txBody>
                      <a:useSpRect/>
                    </a:txSp>
                  </a:sp>
                </lc:lockedCanvas>
              </a:graphicData>
            </a:graphic>
          </wp:inline>
        </w:drawing>
      </w:r>
    </w:p>
    <w:p w:rsidR="008C67D6" w:rsidRDefault="004533DF">
      <w:pPr>
        <w:tabs>
          <w:tab w:val="left" w:pos="0"/>
          <w:tab w:val="left" w:pos="10440"/>
        </w:tabs>
        <w:autoSpaceDE w:val="0"/>
        <w:autoSpaceDN w:val="0"/>
        <w:adjustRightInd w:val="0"/>
        <w:spacing w:after="0" w:line="240" w:lineRule="auto"/>
        <w:ind w:right="-180"/>
        <w:jc w:val="both"/>
        <w:rPr>
          <w:rFonts w:ascii="Verdana" w:eastAsia="Times New Roman" w:hAnsi="Verdana" w:cs="Times New Roman"/>
          <w:color w:val="231F20"/>
          <w:sz w:val="18"/>
          <w:szCs w:val="18"/>
          <w:vertAlign w:val="superscript"/>
        </w:rPr>
      </w:pPr>
      <w:r>
        <w:rPr>
          <w:rFonts w:ascii="Verdana" w:eastAsia="Times New Roman" w:hAnsi="Verdana" w:cs="Times New Roman"/>
          <w:noProof/>
          <w:color w:val="231F20"/>
          <w:sz w:val="18"/>
          <w:szCs w:val="18"/>
          <w:vertAlign w:val="superscript"/>
        </w:rPr>
        <w:drawing>
          <wp:inline distT="0" distB="0" distL="0" distR="0">
            <wp:extent cx="5946775" cy="2743200"/>
            <wp:effectExtent l="19050" t="0" r="0" b="0"/>
            <wp:docPr id="3" name="Picture 3" descr="C:\Users\new pc\Downloads\IMG_20211118_1119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new pc\Downloads\IMG_20211118_111944.jpg"/>
                    <pic:cNvPicPr>
                      <a:picLocks noChangeAspect="1" noChangeArrowheads="1"/>
                    </pic:cNvPicPr>
                  </pic:nvPicPr>
                  <pic:blipFill>
                    <a:blip r:embed="rId7" cstate="print"/>
                    <a:srcRect t="17778" b="2222"/>
                    <a:stretch>
                      <a:fillRect/>
                    </a:stretch>
                  </pic:blipFill>
                  <pic:spPr>
                    <a:xfrm>
                      <a:off x="0" y="0"/>
                      <a:ext cx="5943600" cy="2741662"/>
                    </a:xfrm>
                    <a:prstGeom prst="rect">
                      <a:avLst/>
                    </a:prstGeom>
                    <a:noFill/>
                  </pic:spPr>
                </pic:pic>
              </a:graphicData>
            </a:graphic>
          </wp:inline>
        </w:drawing>
      </w:r>
    </w:p>
    <w:p w:rsidR="008C67D6" w:rsidRDefault="008C67D6">
      <w:pPr>
        <w:tabs>
          <w:tab w:val="left" w:pos="0"/>
          <w:tab w:val="left" w:pos="10440"/>
        </w:tabs>
        <w:autoSpaceDE w:val="0"/>
        <w:autoSpaceDN w:val="0"/>
        <w:adjustRightInd w:val="0"/>
        <w:spacing w:after="0" w:line="240" w:lineRule="auto"/>
        <w:ind w:right="-180"/>
        <w:jc w:val="both"/>
        <w:rPr>
          <w:rFonts w:ascii="Verdana" w:eastAsia="Times New Roman" w:hAnsi="Verdana" w:cs="Times New Roman"/>
          <w:color w:val="231F20"/>
          <w:sz w:val="18"/>
          <w:szCs w:val="18"/>
          <w:vertAlign w:val="superscript"/>
        </w:rPr>
      </w:pPr>
    </w:p>
    <w:p w:rsidR="008C67D6" w:rsidRDefault="008C67D6">
      <w:pPr>
        <w:tabs>
          <w:tab w:val="left" w:pos="0"/>
          <w:tab w:val="left" w:pos="10440"/>
        </w:tabs>
        <w:autoSpaceDE w:val="0"/>
        <w:autoSpaceDN w:val="0"/>
        <w:adjustRightInd w:val="0"/>
        <w:spacing w:after="0" w:line="240" w:lineRule="auto"/>
        <w:ind w:right="-180"/>
        <w:jc w:val="both"/>
        <w:rPr>
          <w:rFonts w:ascii="Verdana" w:eastAsia="Times New Roman" w:hAnsi="Verdana" w:cs="Times New Roman"/>
          <w:color w:val="231F20"/>
          <w:sz w:val="18"/>
          <w:szCs w:val="18"/>
          <w:vertAlign w:val="superscript"/>
        </w:rPr>
      </w:pPr>
    </w:p>
    <w:p w:rsidR="008C67D6" w:rsidRDefault="008C67D6">
      <w:pPr>
        <w:tabs>
          <w:tab w:val="left" w:pos="0"/>
          <w:tab w:val="left" w:pos="10440"/>
        </w:tabs>
        <w:autoSpaceDE w:val="0"/>
        <w:autoSpaceDN w:val="0"/>
        <w:adjustRightInd w:val="0"/>
        <w:spacing w:after="0" w:line="240" w:lineRule="auto"/>
        <w:ind w:right="-180"/>
        <w:jc w:val="both"/>
        <w:rPr>
          <w:rFonts w:ascii="Verdana" w:eastAsia="Times New Roman" w:hAnsi="Verdana" w:cs="Times New Roman"/>
          <w:color w:val="231F20"/>
          <w:sz w:val="18"/>
          <w:szCs w:val="18"/>
          <w:vertAlign w:val="superscript"/>
        </w:rPr>
      </w:pPr>
    </w:p>
    <w:p w:rsidR="008C67D6" w:rsidRDefault="008C67D6">
      <w:pPr>
        <w:tabs>
          <w:tab w:val="left" w:pos="0"/>
          <w:tab w:val="left" w:pos="10440"/>
        </w:tabs>
        <w:autoSpaceDE w:val="0"/>
        <w:autoSpaceDN w:val="0"/>
        <w:adjustRightInd w:val="0"/>
        <w:spacing w:after="0" w:line="240" w:lineRule="auto"/>
        <w:ind w:right="-180"/>
        <w:jc w:val="both"/>
        <w:rPr>
          <w:rFonts w:ascii="Verdana" w:eastAsia="Times New Roman" w:hAnsi="Verdana" w:cs="Times New Roman"/>
          <w:color w:val="231F20"/>
          <w:sz w:val="18"/>
          <w:szCs w:val="18"/>
          <w:vertAlign w:val="superscript"/>
        </w:rPr>
      </w:pPr>
    </w:p>
    <w:p w:rsidR="008C67D6" w:rsidRDefault="008C67D6">
      <w:pPr>
        <w:tabs>
          <w:tab w:val="left" w:pos="0"/>
          <w:tab w:val="left" w:pos="10440"/>
        </w:tabs>
        <w:autoSpaceDE w:val="0"/>
        <w:autoSpaceDN w:val="0"/>
        <w:adjustRightInd w:val="0"/>
        <w:spacing w:after="0" w:line="240" w:lineRule="auto"/>
        <w:ind w:right="-180"/>
        <w:jc w:val="both"/>
        <w:rPr>
          <w:rFonts w:ascii="Verdana" w:eastAsia="Times New Roman" w:hAnsi="Verdana" w:cs="Times New Roman"/>
          <w:color w:val="231F20"/>
          <w:sz w:val="18"/>
          <w:szCs w:val="18"/>
          <w:vertAlign w:val="superscript"/>
        </w:rPr>
      </w:pPr>
    </w:p>
    <w:p w:rsidR="008C67D6" w:rsidRDefault="008C67D6">
      <w:pPr>
        <w:tabs>
          <w:tab w:val="left" w:pos="0"/>
          <w:tab w:val="left" w:pos="10440"/>
        </w:tabs>
        <w:autoSpaceDE w:val="0"/>
        <w:autoSpaceDN w:val="0"/>
        <w:adjustRightInd w:val="0"/>
        <w:spacing w:after="0" w:line="240" w:lineRule="auto"/>
        <w:ind w:right="-180"/>
        <w:jc w:val="both"/>
        <w:rPr>
          <w:rFonts w:ascii="Verdana" w:eastAsia="Times New Roman" w:hAnsi="Verdana" w:cs="Times New Roman"/>
          <w:color w:val="231F20"/>
          <w:sz w:val="18"/>
          <w:szCs w:val="18"/>
          <w:vertAlign w:val="superscript"/>
        </w:rPr>
      </w:pPr>
    </w:p>
    <w:p w:rsidR="008C67D6" w:rsidRDefault="008C67D6">
      <w:pPr>
        <w:tabs>
          <w:tab w:val="left" w:pos="0"/>
          <w:tab w:val="left" w:pos="10440"/>
        </w:tabs>
        <w:autoSpaceDE w:val="0"/>
        <w:autoSpaceDN w:val="0"/>
        <w:adjustRightInd w:val="0"/>
        <w:spacing w:after="0" w:line="240" w:lineRule="auto"/>
        <w:ind w:right="-180"/>
        <w:jc w:val="both"/>
        <w:rPr>
          <w:rFonts w:ascii="Verdana" w:eastAsia="Times New Roman" w:hAnsi="Verdana" w:cs="Times New Roman"/>
          <w:color w:val="231F20"/>
          <w:sz w:val="18"/>
          <w:szCs w:val="18"/>
          <w:vertAlign w:val="superscript"/>
        </w:rPr>
      </w:pPr>
    </w:p>
    <w:p w:rsidR="008C67D6" w:rsidRDefault="004533DF">
      <w:pPr>
        <w:tabs>
          <w:tab w:val="left" w:pos="0"/>
          <w:tab w:val="left" w:pos="10440"/>
        </w:tabs>
        <w:autoSpaceDE w:val="0"/>
        <w:autoSpaceDN w:val="0"/>
        <w:adjustRightInd w:val="0"/>
        <w:spacing w:after="0" w:line="240" w:lineRule="auto"/>
        <w:ind w:right="-180"/>
        <w:jc w:val="both"/>
        <w:rPr>
          <w:rFonts w:ascii="Verdana" w:eastAsia="Times New Roman" w:hAnsi="Verdana" w:cs="Times New Roman"/>
          <w:color w:val="231F20"/>
          <w:sz w:val="18"/>
          <w:szCs w:val="18"/>
          <w:vertAlign w:val="superscript"/>
        </w:rPr>
      </w:pPr>
      <w:r>
        <w:rPr>
          <w:rFonts w:ascii="Verdana" w:eastAsia="Times New Roman" w:hAnsi="Verdana" w:cs="Times New Roman"/>
          <w:noProof/>
          <w:color w:val="231F20"/>
          <w:sz w:val="18"/>
          <w:szCs w:val="18"/>
          <w:vertAlign w:val="superscript"/>
        </w:rPr>
        <w:lastRenderedPageBreak/>
        <w:drawing>
          <wp:inline distT="0" distB="0" distL="0" distR="0">
            <wp:extent cx="6328410" cy="345948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8"/>
                    <a:srcRect/>
                    <a:stretch>
                      <a:fillRect/>
                    </a:stretch>
                  </pic:blipFill>
                  <pic:spPr>
                    <a:xfrm>
                      <a:off x="0" y="0"/>
                      <a:ext cx="6332220" cy="3461563"/>
                    </a:xfrm>
                    <a:prstGeom prst="rect">
                      <a:avLst/>
                    </a:prstGeom>
                    <a:noFill/>
                    <a:ln w="9525">
                      <a:noFill/>
                      <a:miter lim="800000"/>
                      <a:headEnd/>
                      <a:tailEnd/>
                    </a:ln>
                  </pic:spPr>
                </pic:pic>
              </a:graphicData>
            </a:graphic>
          </wp:inline>
        </w:drawing>
      </w:r>
    </w:p>
    <w:p w:rsidR="008C67D6" w:rsidRDefault="008C67D6">
      <w:pPr>
        <w:tabs>
          <w:tab w:val="left" w:pos="0"/>
          <w:tab w:val="left" w:pos="10440"/>
        </w:tabs>
        <w:autoSpaceDE w:val="0"/>
        <w:autoSpaceDN w:val="0"/>
        <w:adjustRightInd w:val="0"/>
        <w:spacing w:after="0" w:line="240" w:lineRule="auto"/>
        <w:ind w:right="-180"/>
        <w:jc w:val="both"/>
        <w:rPr>
          <w:rFonts w:ascii="Verdana" w:eastAsia="Times New Roman" w:hAnsi="Verdana" w:cs="Times New Roman"/>
          <w:color w:val="231F20"/>
          <w:sz w:val="18"/>
          <w:szCs w:val="18"/>
          <w:vertAlign w:val="superscript"/>
        </w:rPr>
      </w:pPr>
    </w:p>
    <w:p w:rsidR="008C67D6" w:rsidRDefault="008C67D6">
      <w:pPr>
        <w:tabs>
          <w:tab w:val="left" w:pos="0"/>
          <w:tab w:val="left" w:pos="10440"/>
        </w:tabs>
        <w:autoSpaceDE w:val="0"/>
        <w:autoSpaceDN w:val="0"/>
        <w:adjustRightInd w:val="0"/>
        <w:spacing w:after="0" w:line="240" w:lineRule="auto"/>
        <w:ind w:right="-180"/>
        <w:jc w:val="both"/>
        <w:rPr>
          <w:rFonts w:ascii="Verdana" w:eastAsia="Times New Roman" w:hAnsi="Verdana" w:cs="Times New Roman"/>
          <w:color w:val="231F20"/>
          <w:sz w:val="18"/>
          <w:szCs w:val="18"/>
          <w:vertAlign w:val="superscript"/>
        </w:rPr>
      </w:pPr>
    </w:p>
    <w:p w:rsidR="008C67D6" w:rsidRDefault="008C67D6">
      <w:pPr>
        <w:tabs>
          <w:tab w:val="left" w:pos="0"/>
          <w:tab w:val="left" w:pos="10440"/>
        </w:tabs>
        <w:autoSpaceDE w:val="0"/>
        <w:autoSpaceDN w:val="0"/>
        <w:adjustRightInd w:val="0"/>
        <w:spacing w:after="0" w:line="240" w:lineRule="auto"/>
        <w:ind w:right="-180"/>
        <w:jc w:val="both"/>
        <w:rPr>
          <w:rFonts w:ascii="Verdana" w:eastAsia="Times New Roman" w:hAnsi="Verdana" w:cs="Times New Roman"/>
          <w:color w:val="231F20"/>
          <w:sz w:val="18"/>
          <w:szCs w:val="18"/>
          <w:vertAlign w:val="superscript"/>
        </w:rPr>
      </w:pPr>
    </w:p>
    <w:p w:rsidR="008C67D6" w:rsidRDefault="004533DF">
      <w:pPr>
        <w:spacing w:after="0" w:line="240" w:lineRule="auto"/>
        <w:jc w:val="both"/>
        <w:rPr>
          <w:rFonts w:ascii="Times New Roman" w:hAnsi="Times New Roman" w:cs="Times New Roman"/>
          <w:color w:val="231F20"/>
          <w:sz w:val="24"/>
          <w:szCs w:val="24"/>
        </w:rPr>
      </w:pPr>
      <w:r>
        <w:rPr>
          <w:rFonts w:ascii="Times New Roman" w:eastAsia="Times New Roman" w:hAnsi="Times New Roman" w:cs="Times New Roman"/>
          <w:color w:val="231F20"/>
          <w:sz w:val="24"/>
          <w:szCs w:val="24"/>
        </w:rPr>
        <w:t>These areas were organized and divided by using the dental software application and obtaining reconstructed panorama and cross-sectional views to optimize the center of each examined view.The visibility of the MC in CBCT and OPG, determined by the ability of the observer to differentiate the MC from the surrounding bone, was registered as either clear (C) or unclear (UC). The data of each examined area were clustered together and the visibility was compared according to the imaging modality (CBCT and OPG).</w:t>
      </w:r>
      <w:r>
        <w:rPr>
          <w:rFonts w:ascii="Times New Roman" w:hAnsi="Times New Roman" w:cs="Times New Roman"/>
          <w:color w:val="231F20"/>
          <w:sz w:val="24"/>
          <w:szCs w:val="24"/>
        </w:rPr>
        <w:t>The collected data were analyzed statistically by student t test and MacNemer’s analysis.</w:t>
      </w:r>
    </w:p>
    <w:p w:rsidR="008C67D6" w:rsidRDefault="008C67D6">
      <w:pPr>
        <w:spacing w:after="0" w:line="240" w:lineRule="auto"/>
        <w:jc w:val="both"/>
        <w:rPr>
          <w:rFonts w:ascii="Times New Roman" w:hAnsi="Times New Roman" w:cs="Times New Roman"/>
          <w:color w:val="231F20"/>
          <w:sz w:val="24"/>
          <w:szCs w:val="24"/>
        </w:rPr>
      </w:pPr>
    </w:p>
    <w:p w:rsidR="008C67D6" w:rsidRDefault="008C67D6">
      <w:pPr>
        <w:spacing w:after="0" w:line="240" w:lineRule="auto"/>
        <w:jc w:val="both"/>
        <w:rPr>
          <w:rFonts w:ascii="Times New Roman" w:hAnsi="Times New Roman" w:cs="Times New Roman"/>
          <w:color w:val="231F20"/>
          <w:sz w:val="24"/>
          <w:szCs w:val="24"/>
        </w:rPr>
      </w:pPr>
    </w:p>
    <w:p w:rsidR="008C67D6" w:rsidRDefault="004533DF">
      <w:pPr>
        <w:spacing w:after="0" w:line="240" w:lineRule="auto"/>
        <w:jc w:val="both"/>
        <w:rPr>
          <w:rFonts w:ascii="Times New Roman" w:hAnsi="Times New Roman" w:cs="Times New Roman"/>
          <w:b/>
          <w:color w:val="231F20"/>
          <w:sz w:val="24"/>
          <w:szCs w:val="24"/>
        </w:rPr>
      </w:pPr>
      <w:r>
        <w:rPr>
          <w:rFonts w:ascii="Times New Roman" w:hAnsi="Times New Roman" w:cs="Times New Roman"/>
          <w:b/>
          <w:color w:val="231F20"/>
          <w:sz w:val="24"/>
          <w:szCs w:val="24"/>
        </w:rPr>
        <w:t xml:space="preserve">RESULTS </w:t>
      </w:r>
    </w:p>
    <w:p w:rsidR="008C67D6" w:rsidRDefault="008C67D6">
      <w:pPr>
        <w:spacing w:after="0" w:line="240" w:lineRule="auto"/>
        <w:jc w:val="both"/>
        <w:rPr>
          <w:rFonts w:ascii="Times New Roman" w:eastAsia="Times New Roman" w:hAnsi="Times New Roman" w:cs="Times New Roman"/>
          <w:b/>
          <w:sz w:val="24"/>
          <w:szCs w:val="24"/>
        </w:rPr>
      </w:pPr>
    </w:p>
    <w:p w:rsidR="008C67D6" w:rsidRDefault="004533DF">
      <w:pPr>
        <w:tabs>
          <w:tab w:val="left" w:pos="0"/>
          <w:tab w:val="left" w:pos="10440"/>
        </w:tabs>
        <w:autoSpaceDE w:val="0"/>
        <w:autoSpaceDN w:val="0"/>
        <w:adjustRightInd w:val="0"/>
        <w:spacing w:after="0" w:line="240" w:lineRule="auto"/>
        <w:ind w:right="-180"/>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The visibility of MC in region A by CBCT was clearer than OPG, while in region D the visibility was better using OPG.The statistical analysis showed there were significant differences between CBCT and OPG images at the region A and D while at the region B and C there was a non-significant difference.</w:t>
      </w:r>
      <w:r>
        <w:rPr>
          <w:rFonts w:ascii="Times New Roman" w:eastAsia="Times New Roman" w:hAnsi="Times New Roman" w:cs="Times New Roman"/>
          <w:color w:val="231F20"/>
          <w:sz w:val="24"/>
          <w:szCs w:val="24"/>
        </w:rPr>
        <w:cr/>
      </w:r>
    </w:p>
    <w:p w:rsidR="00493B38" w:rsidRDefault="00493B38" w:rsidP="004013A4">
      <w:pPr>
        <w:tabs>
          <w:tab w:val="left" w:pos="0"/>
          <w:tab w:val="left" w:pos="10440"/>
        </w:tabs>
        <w:autoSpaceDE w:val="0"/>
        <w:autoSpaceDN w:val="0"/>
        <w:adjustRightInd w:val="0"/>
        <w:spacing w:after="0" w:line="240" w:lineRule="auto"/>
        <w:ind w:right="-180"/>
        <w:jc w:val="both"/>
        <w:rPr>
          <w:rFonts w:ascii="Times New Roman" w:eastAsia="Times New Roman" w:hAnsi="Times New Roman" w:cs="Times New Roman"/>
          <w:b/>
          <w:color w:val="231F20"/>
          <w:sz w:val="24"/>
          <w:szCs w:val="24"/>
        </w:rPr>
      </w:pPr>
    </w:p>
    <w:p w:rsidR="00076645" w:rsidRDefault="00076645" w:rsidP="004013A4">
      <w:pPr>
        <w:tabs>
          <w:tab w:val="left" w:pos="0"/>
          <w:tab w:val="left" w:pos="10440"/>
        </w:tabs>
        <w:autoSpaceDE w:val="0"/>
        <w:autoSpaceDN w:val="0"/>
        <w:adjustRightInd w:val="0"/>
        <w:spacing w:after="0" w:line="240" w:lineRule="auto"/>
        <w:ind w:right="-180"/>
        <w:jc w:val="both"/>
        <w:rPr>
          <w:rFonts w:ascii="Times New Roman" w:eastAsia="Times New Roman" w:hAnsi="Times New Roman" w:cs="Times New Roman"/>
          <w:b/>
          <w:color w:val="231F20"/>
          <w:sz w:val="24"/>
          <w:szCs w:val="24"/>
        </w:rPr>
      </w:pPr>
    </w:p>
    <w:p w:rsidR="00076645" w:rsidRDefault="00076645" w:rsidP="004013A4">
      <w:pPr>
        <w:tabs>
          <w:tab w:val="left" w:pos="0"/>
          <w:tab w:val="left" w:pos="10440"/>
        </w:tabs>
        <w:autoSpaceDE w:val="0"/>
        <w:autoSpaceDN w:val="0"/>
        <w:adjustRightInd w:val="0"/>
        <w:spacing w:after="0" w:line="240" w:lineRule="auto"/>
        <w:ind w:right="-180"/>
        <w:jc w:val="both"/>
        <w:rPr>
          <w:rFonts w:ascii="Times New Roman" w:eastAsia="Times New Roman" w:hAnsi="Times New Roman" w:cs="Times New Roman"/>
          <w:b/>
          <w:color w:val="231F20"/>
          <w:sz w:val="24"/>
          <w:szCs w:val="24"/>
        </w:rPr>
      </w:pPr>
    </w:p>
    <w:p w:rsidR="00076645" w:rsidRDefault="00076645" w:rsidP="004013A4">
      <w:pPr>
        <w:tabs>
          <w:tab w:val="left" w:pos="0"/>
          <w:tab w:val="left" w:pos="10440"/>
        </w:tabs>
        <w:autoSpaceDE w:val="0"/>
        <w:autoSpaceDN w:val="0"/>
        <w:adjustRightInd w:val="0"/>
        <w:spacing w:after="0" w:line="240" w:lineRule="auto"/>
        <w:ind w:right="-180"/>
        <w:jc w:val="both"/>
        <w:rPr>
          <w:rFonts w:ascii="Times New Roman" w:eastAsia="Times New Roman" w:hAnsi="Times New Roman" w:cs="Times New Roman"/>
          <w:b/>
          <w:color w:val="231F20"/>
          <w:sz w:val="24"/>
          <w:szCs w:val="24"/>
        </w:rPr>
      </w:pPr>
    </w:p>
    <w:p w:rsidR="00076645" w:rsidRDefault="00076645" w:rsidP="004013A4">
      <w:pPr>
        <w:tabs>
          <w:tab w:val="left" w:pos="0"/>
          <w:tab w:val="left" w:pos="10440"/>
        </w:tabs>
        <w:autoSpaceDE w:val="0"/>
        <w:autoSpaceDN w:val="0"/>
        <w:adjustRightInd w:val="0"/>
        <w:spacing w:after="0" w:line="240" w:lineRule="auto"/>
        <w:ind w:right="-180"/>
        <w:jc w:val="both"/>
        <w:rPr>
          <w:rFonts w:ascii="Times New Roman" w:eastAsia="Times New Roman" w:hAnsi="Times New Roman" w:cs="Times New Roman"/>
          <w:b/>
          <w:color w:val="231F20"/>
          <w:sz w:val="24"/>
          <w:szCs w:val="24"/>
        </w:rPr>
      </w:pPr>
    </w:p>
    <w:p w:rsidR="00076645" w:rsidRDefault="00076645" w:rsidP="004013A4">
      <w:pPr>
        <w:tabs>
          <w:tab w:val="left" w:pos="0"/>
          <w:tab w:val="left" w:pos="10440"/>
        </w:tabs>
        <w:autoSpaceDE w:val="0"/>
        <w:autoSpaceDN w:val="0"/>
        <w:adjustRightInd w:val="0"/>
        <w:spacing w:after="0" w:line="240" w:lineRule="auto"/>
        <w:ind w:right="-180"/>
        <w:jc w:val="both"/>
        <w:rPr>
          <w:rFonts w:ascii="Times New Roman" w:eastAsia="Times New Roman" w:hAnsi="Times New Roman" w:cs="Times New Roman"/>
          <w:b/>
          <w:color w:val="231F20"/>
          <w:sz w:val="24"/>
          <w:szCs w:val="24"/>
        </w:rPr>
      </w:pPr>
    </w:p>
    <w:p w:rsidR="00076645" w:rsidRDefault="00076645" w:rsidP="004013A4">
      <w:pPr>
        <w:tabs>
          <w:tab w:val="left" w:pos="0"/>
          <w:tab w:val="left" w:pos="10440"/>
        </w:tabs>
        <w:autoSpaceDE w:val="0"/>
        <w:autoSpaceDN w:val="0"/>
        <w:adjustRightInd w:val="0"/>
        <w:spacing w:after="0" w:line="240" w:lineRule="auto"/>
        <w:ind w:right="-180"/>
        <w:jc w:val="both"/>
        <w:rPr>
          <w:rFonts w:ascii="Times New Roman" w:eastAsia="Times New Roman" w:hAnsi="Times New Roman" w:cs="Times New Roman"/>
          <w:b/>
          <w:color w:val="231F20"/>
          <w:sz w:val="24"/>
          <w:szCs w:val="24"/>
        </w:rPr>
      </w:pPr>
    </w:p>
    <w:p w:rsidR="00076645" w:rsidRDefault="00076645" w:rsidP="004013A4">
      <w:pPr>
        <w:tabs>
          <w:tab w:val="left" w:pos="0"/>
          <w:tab w:val="left" w:pos="10440"/>
        </w:tabs>
        <w:autoSpaceDE w:val="0"/>
        <w:autoSpaceDN w:val="0"/>
        <w:adjustRightInd w:val="0"/>
        <w:spacing w:after="0" w:line="240" w:lineRule="auto"/>
        <w:ind w:right="-180"/>
        <w:jc w:val="both"/>
        <w:rPr>
          <w:rFonts w:ascii="Times New Roman" w:eastAsia="Times New Roman" w:hAnsi="Times New Roman" w:cs="Times New Roman"/>
          <w:b/>
          <w:color w:val="231F20"/>
          <w:sz w:val="24"/>
          <w:szCs w:val="24"/>
        </w:rPr>
      </w:pPr>
    </w:p>
    <w:p w:rsidR="00076645" w:rsidRDefault="00076645" w:rsidP="004013A4">
      <w:pPr>
        <w:tabs>
          <w:tab w:val="left" w:pos="0"/>
          <w:tab w:val="left" w:pos="10440"/>
        </w:tabs>
        <w:autoSpaceDE w:val="0"/>
        <w:autoSpaceDN w:val="0"/>
        <w:adjustRightInd w:val="0"/>
        <w:spacing w:after="0" w:line="240" w:lineRule="auto"/>
        <w:ind w:right="-180"/>
        <w:jc w:val="both"/>
        <w:rPr>
          <w:rFonts w:ascii="Times New Roman" w:eastAsia="Times New Roman" w:hAnsi="Times New Roman" w:cs="Times New Roman"/>
          <w:b/>
          <w:color w:val="231F20"/>
          <w:sz w:val="24"/>
          <w:szCs w:val="24"/>
        </w:rPr>
      </w:pPr>
    </w:p>
    <w:p w:rsidR="00076645" w:rsidRDefault="00076645" w:rsidP="004013A4">
      <w:pPr>
        <w:tabs>
          <w:tab w:val="left" w:pos="0"/>
          <w:tab w:val="left" w:pos="10440"/>
        </w:tabs>
        <w:autoSpaceDE w:val="0"/>
        <w:autoSpaceDN w:val="0"/>
        <w:adjustRightInd w:val="0"/>
        <w:spacing w:after="0" w:line="240" w:lineRule="auto"/>
        <w:ind w:right="-180"/>
        <w:jc w:val="both"/>
        <w:rPr>
          <w:rFonts w:ascii="Times New Roman" w:eastAsia="Times New Roman" w:hAnsi="Times New Roman" w:cs="Times New Roman"/>
          <w:b/>
          <w:color w:val="231F20"/>
          <w:sz w:val="24"/>
          <w:szCs w:val="24"/>
        </w:rPr>
      </w:pPr>
    </w:p>
    <w:p w:rsidR="008C67D6" w:rsidRDefault="004533DF" w:rsidP="004013A4">
      <w:pPr>
        <w:tabs>
          <w:tab w:val="left" w:pos="0"/>
          <w:tab w:val="left" w:pos="10440"/>
        </w:tabs>
        <w:autoSpaceDE w:val="0"/>
        <w:autoSpaceDN w:val="0"/>
        <w:adjustRightInd w:val="0"/>
        <w:spacing w:after="0" w:line="240" w:lineRule="auto"/>
        <w:ind w:right="-180"/>
        <w:jc w:val="both"/>
        <w:rPr>
          <w:rFonts w:ascii="Times New Roman" w:eastAsia="Times New Roman" w:hAnsi="Times New Roman" w:cs="Times New Roman"/>
          <w:b/>
          <w:color w:val="231F20"/>
          <w:sz w:val="24"/>
          <w:szCs w:val="24"/>
        </w:rPr>
      </w:pPr>
      <w:r>
        <w:rPr>
          <w:rFonts w:ascii="Times New Roman" w:eastAsia="Times New Roman" w:hAnsi="Times New Roman" w:cs="Times New Roman"/>
          <w:b/>
          <w:color w:val="231F20"/>
          <w:sz w:val="24"/>
          <w:szCs w:val="24"/>
        </w:rPr>
        <w:lastRenderedPageBreak/>
        <w:t>DISCUSSION</w:t>
      </w:r>
    </w:p>
    <w:p w:rsidR="000666BF" w:rsidRDefault="000666BF" w:rsidP="004013A4">
      <w:pPr>
        <w:spacing w:after="0" w:line="240" w:lineRule="auto"/>
        <w:jc w:val="both"/>
        <w:rPr>
          <w:rFonts w:ascii="Times New Roman" w:eastAsia="Times New Roman" w:hAnsi="Times New Roman" w:cs="Times New Roman"/>
          <w:color w:val="231F20"/>
          <w:sz w:val="24"/>
          <w:szCs w:val="24"/>
        </w:rPr>
      </w:pPr>
    </w:p>
    <w:p w:rsidR="00076645" w:rsidRPr="008C5A3A" w:rsidRDefault="00076645" w:rsidP="00F0316E">
      <w:pPr>
        <w:spacing w:after="0" w:line="240" w:lineRule="auto"/>
        <w:jc w:val="both"/>
        <w:rPr>
          <w:rFonts w:ascii="Times New Roman" w:eastAsia="Times New Roman" w:hAnsi="Times New Roman" w:cs="Times New Roman"/>
          <w:color w:val="231F20"/>
          <w:sz w:val="24"/>
          <w:szCs w:val="24"/>
          <w:vertAlign w:val="superscript"/>
        </w:rPr>
      </w:pPr>
      <w:r>
        <w:rPr>
          <w:rFonts w:ascii="Times New Roman" w:eastAsia="Times New Roman" w:hAnsi="Times New Roman" w:cs="Times New Roman"/>
          <w:color w:val="231F20"/>
          <w:sz w:val="24"/>
          <w:szCs w:val="24"/>
        </w:rPr>
        <w:t>The launching of new imaging technologies has allowed us to visualize MC and other anatomical structure in different plans without image superimposition.</w:t>
      </w:r>
      <w:r w:rsidR="00B824BE">
        <w:rPr>
          <w:rFonts w:ascii="Times New Roman" w:eastAsia="Times New Roman" w:hAnsi="Times New Roman" w:cs="Times New Roman"/>
          <w:color w:val="231F20"/>
          <w:sz w:val="24"/>
          <w:szCs w:val="24"/>
        </w:rPr>
        <w:t xml:space="preserve"> </w:t>
      </w:r>
      <w:r>
        <w:rPr>
          <w:rFonts w:ascii="Times New Roman" w:eastAsia="Times New Roman" w:hAnsi="Times New Roman" w:cs="Times New Roman"/>
          <w:color w:val="231F20"/>
          <w:sz w:val="24"/>
          <w:szCs w:val="24"/>
        </w:rPr>
        <w:t xml:space="preserve">In this study the visibility of MC was assessed on both conventional </w:t>
      </w:r>
      <w:r w:rsidR="00B824BE">
        <w:rPr>
          <w:rFonts w:ascii="Times New Roman" w:eastAsia="Times New Roman" w:hAnsi="Times New Roman" w:cs="Times New Roman"/>
          <w:color w:val="231F20"/>
          <w:sz w:val="24"/>
          <w:szCs w:val="24"/>
        </w:rPr>
        <w:t>panoramic</w:t>
      </w:r>
      <w:r>
        <w:rPr>
          <w:rFonts w:ascii="Times New Roman" w:eastAsia="Times New Roman" w:hAnsi="Times New Roman" w:cs="Times New Roman"/>
          <w:color w:val="231F20"/>
          <w:sz w:val="24"/>
          <w:szCs w:val="24"/>
        </w:rPr>
        <w:t xml:space="preserve"> images and advanced imaging like CBCT images.</w:t>
      </w:r>
      <w:r w:rsidR="008C5A3A">
        <w:rPr>
          <w:rFonts w:ascii="Times New Roman" w:eastAsia="Times New Roman" w:hAnsi="Times New Roman" w:cs="Times New Roman"/>
          <w:color w:val="231F20"/>
          <w:sz w:val="24"/>
          <w:szCs w:val="24"/>
          <w:vertAlign w:val="superscript"/>
        </w:rPr>
        <w:t>4</w:t>
      </w:r>
    </w:p>
    <w:p w:rsidR="008C5A3A" w:rsidRDefault="008C5A3A" w:rsidP="008C5A3A">
      <w:pPr>
        <w:spacing w:after="0" w:line="240" w:lineRule="auto"/>
        <w:rPr>
          <w:rFonts w:ascii="Times New Roman" w:eastAsia="Times New Roman" w:hAnsi="Times New Roman" w:cs="Times New Roman"/>
          <w:color w:val="231F20"/>
          <w:sz w:val="24"/>
          <w:szCs w:val="24"/>
          <w:vertAlign w:val="superscript"/>
        </w:rPr>
      </w:pPr>
      <w:r>
        <w:rPr>
          <w:rFonts w:ascii="Verdana" w:eastAsia="Times New Roman" w:hAnsi="Verdana" w:cs="Times New Roman"/>
          <w:color w:val="231F20"/>
          <w:sz w:val="18"/>
          <w:szCs w:val="18"/>
        </w:rPr>
        <w:t xml:space="preserve"> </w:t>
      </w:r>
      <w:r w:rsidRPr="008C5A3A">
        <w:rPr>
          <w:rFonts w:ascii="Times New Roman" w:eastAsia="Times New Roman" w:hAnsi="Times New Roman" w:cs="Times New Roman"/>
          <w:color w:val="231F20"/>
          <w:sz w:val="24"/>
          <w:szCs w:val="24"/>
        </w:rPr>
        <w:t>The Mandibular Canal seen  as a rarefaction lined by radiopaque borders on radiographs, distinct bony-walled channels with definite borders do not seem to be a regular feature</w:t>
      </w:r>
      <w:r>
        <w:rPr>
          <w:rFonts w:ascii="Times New Roman" w:eastAsia="Times New Roman" w:hAnsi="Times New Roman" w:cs="Times New Roman"/>
          <w:color w:val="231F20"/>
          <w:sz w:val="24"/>
          <w:szCs w:val="24"/>
        </w:rPr>
        <w:t>.</w:t>
      </w:r>
      <w:r>
        <w:rPr>
          <w:rFonts w:ascii="Times New Roman" w:eastAsia="Times New Roman" w:hAnsi="Times New Roman" w:cs="Times New Roman"/>
          <w:color w:val="231F20"/>
          <w:sz w:val="24"/>
          <w:szCs w:val="24"/>
          <w:vertAlign w:val="superscript"/>
        </w:rPr>
        <w:t>4-5</w:t>
      </w:r>
    </w:p>
    <w:p w:rsidR="00156363" w:rsidRPr="00156363" w:rsidRDefault="00156363" w:rsidP="008C5A3A">
      <w:pPr>
        <w:spacing w:after="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color w:val="231F20"/>
          <w:sz w:val="24"/>
          <w:szCs w:val="24"/>
        </w:rPr>
        <w:t>CBCT found more accurate  to panoramic images for the identification of mandibular canal.</w:t>
      </w:r>
      <w:r>
        <w:rPr>
          <w:rFonts w:ascii="Times New Roman" w:eastAsia="Times New Roman" w:hAnsi="Times New Roman" w:cs="Times New Roman"/>
          <w:color w:val="231F20"/>
          <w:sz w:val="24"/>
          <w:szCs w:val="24"/>
          <w:vertAlign w:val="superscript"/>
        </w:rPr>
        <w:t>6</w:t>
      </w:r>
    </w:p>
    <w:p w:rsidR="00E73439" w:rsidRPr="003D1C4E" w:rsidRDefault="00B824BE" w:rsidP="00A6505D">
      <w:pPr>
        <w:spacing w:after="0" w:line="240" w:lineRule="auto"/>
        <w:jc w:val="both"/>
        <w:rPr>
          <w:rFonts w:ascii="Times New Roman" w:eastAsia="Times New Roman" w:hAnsi="Times New Roman" w:cs="Times New Roman"/>
          <w:color w:val="231F20"/>
          <w:sz w:val="24"/>
          <w:szCs w:val="24"/>
          <w:vertAlign w:val="superscript"/>
        </w:rPr>
      </w:pPr>
      <w:r>
        <w:rPr>
          <w:rFonts w:ascii="Times New Roman" w:eastAsia="Times New Roman" w:hAnsi="Times New Roman" w:cs="Times New Roman"/>
          <w:color w:val="231F20"/>
          <w:sz w:val="24"/>
          <w:szCs w:val="24"/>
        </w:rPr>
        <w:t>As in CBCT</w:t>
      </w:r>
      <w:r w:rsidR="00076645">
        <w:rPr>
          <w:rFonts w:ascii="Times New Roman" w:eastAsia="Times New Roman" w:hAnsi="Times New Roman" w:cs="Times New Roman"/>
          <w:color w:val="231F20"/>
          <w:sz w:val="24"/>
          <w:szCs w:val="24"/>
        </w:rPr>
        <w:t>,</w:t>
      </w:r>
      <w:r>
        <w:rPr>
          <w:rFonts w:ascii="Times New Roman" w:eastAsia="Times New Roman" w:hAnsi="Times New Roman" w:cs="Times New Roman"/>
          <w:color w:val="231F20"/>
          <w:sz w:val="24"/>
          <w:szCs w:val="24"/>
        </w:rPr>
        <w:t xml:space="preserve"> </w:t>
      </w:r>
      <w:r w:rsidR="00076645">
        <w:rPr>
          <w:rFonts w:ascii="Times New Roman" w:eastAsia="Times New Roman" w:hAnsi="Times New Roman" w:cs="Times New Roman"/>
          <w:color w:val="231F20"/>
          <w:sz w:val="24"/>
          <w:szCs w:val="24"/>
        </w:rPr>
        <w:t xml:space="preserve">the identification or visualization of MC was considered effortless because canal can be visualized and discriminated from surrounding in nearly every region </w:t>
      </w:r>
      <w:r>
        <w:rPr>
          <w:rFonts w:ascii="Times New Roman" w:eastAsia="Times New Roman" w:hAnsi="Times New Roman" w:cs="Times New Roman"/>
          <w:color w:val="231F20"/>
          <w:sz w:val="24"/>
          <w:szCs w:val="24"/>
        </w:rPr>
        <w:t>throughout</w:t>
      </w:r>
      <w:r w:rsidR="00076645">
        <w:rPr>
          <w:rFonts w:ascii="Times New Roman" w:eastAsia="Times New Roman" w:hAnsi="Times New Roman" w:cs="Times New Roman"/>
          <w:color w:val="231F20"/>
          <w:sz w:val="24"/>
          <w:szCs w:val="24"/>
        </w:rPr>
        <w:t xml:space="preserve"> its extension but in</w:t>
      </w:r>
      <w:r w:rsidR="003D1C4E">
        <w:rPr>
          <w:rFonts w:ascii="Times New Roman" w:eastAsia="Times New Roman" w:hAnsi="Times New Roman" w:cs="Times New Roman"/>
          <w:color w:val="231F20"/>
          <w:sz w:val="24"/>
          <w:szCs w:val="24"/>
        </w:rPr>
        <w:t xml:space="preserve"> </w:t>
      </w:r>
      <w:r>
        <w:rPr>
          <w:rFonts w:ascii="Times New Roman" w:eastAsia="Times New Roman" w:hAnsi="Times New Roman" w:cs="Times New Roman"/>
          <w:color w:val="231F20"/>
          <w:sz w:val="24"/>
          <w:szCs w:val="24"/>
        </w:rPr>
        <w:t>panoramic</w:t>
      </w:r>
      <w:r w:rsidR="00E73439">
        <w:rPr>
          <w:rFonts w:ascii="Times New Roman" w:eastAsia="Times New Roman" w:hAnsi="Times New Roman" w:cs="Times New Roman"/>
          <w:color w:val="231F20"/>
          <w:sz w:val="24"/>
          <w:szCs w:val="24"/>
        </w:rPr>
        <w:t xml:space="preserve"> images we just visualized it, can</w:t>
      </w:r>
      <w:r w:rsidR="001D7ECA">
        <w:rPr>
          <w:rFonts w:ascii="Times New Roman" w:eastAsia="Times New Roman" w:hAnsi="Times New Roman" w:cs="Times New Roman"/>
          <w:color w:val="231F20"/>
          <w:sz w:val="24"/>
          <w:szCs w:val="24"/>
        </w:rPr>
        <w:t xml:space="preserve"> no</w:t>
      </w:r>
      <w:r w:rsidR="00E73439">
        <w:rPr>
          <w:rFonts w:ascii="Times New Roman" w:eastAsia="Times New Roman" w:hAnsi="Times New Roman" w:cs="Times New Roman"/>
          <w:color w:val="231F20"/>
          <w:sz w:val="24"/>
          <w:szCs w:val="24"/>
        </w:rPr>
        <w:t xml:space="preserve">t evaluate it due to its 2D configuration </w:t>
      </w:r>
      <w:r w:rsidR="00A6505D">
        <w:rPr>
          <w:rFonts w:ascii="Times New Roman" w:eastAsia="Times New Roman" w:hAnsi="Times New Roman" w:cs="Times New Roman"/>
          <w:color w:val="231F20"/>
          <w:sz w:val="24"/>
          <w:szCs w:val="24"/>
        </w:rPr>
        <w:t>.</w:t>
      </w:r>
      <w:r w:rsidR="003D1C4E">
        <w:rPr>
          <w:rFonts w:ascii="Times New Roman" w:eastAsia="Times New Roman" w:hAnsi="Times New Roman" w:cs="Times New Roman"/>
          <w:color w:val="231F20"/>
          <w:sz w:val="24"/>
          <w:szCs w:val="24"/>
          <w:vertAlign w:val="superscript"/>
        </w:rPr>
        <w:t>5</w:t>
      </w:r>
      <w:r w:rsidR="00156363">
        <w:rPr>
          <w:rFonts w:ascii="Times New Roman" w:eastAsia="Times New Roman" w:hAnsi="Times New Roman" w:cs="Times New Roman"/>
          <w:color w:val="231F20"/>
          <w:sz w:val="24"/>
          <w:szCs w:val="24"/>
          <w:vertAlign w:val="superscript"/>
        </w:rPr>
        <w:t>,7,8</w:t>
      </w:r>
    </w:p>
    <w:p w:rsidR="00DA1583" w:rsidRPr="001D7ECA" w:rsidRDefault="00A6505D" w:rsidP="00F0316E">
      <w:pPr>
        <w:spacing w:after="0" w:line="240" w:lineRule="auto"/>
        <w:jc w:val="both"/>
        <w:rPr>
          <w:rFonts w:ascii="Times New Roman" w:eastAsia="Times New Roman" w:hAnsi="Times New Roman" w:cs="Times New Roman"/>
          <w:color w:val="231F20"/>
          <w:sz w:val="24"/>
          <w:szCs w:val="24"/>
          <w:vertAlign w:val="superscript"/>
        </w:rPr>
      </w:pPr>
      <w:r>
        <w:rPr>
          <w:rFonts w:ascii="Times New Roman" w:eastAsia="Times New Roman" w:hAnsi="Times New Roman" w:cs="Times New Roman"/>
          <w:color w:val="231F20"/>
          <w:sz w:val="24"/>
          <w:szCs w:val="24"/>
        </w:rPr>
        <w:t xml:space="preserve">Thus </w:t>
      </w:r>
      <w:r w:rsidR="00B824BE">
        <w:rPr>
          <w:rFonts w:ascii="Times New Roman" w:eastAsia="Times New Roman" w:hAnsi="Times New Roman" w:cs="Times New Roman"/>
          <w:color w:val="231F20"/>
          <w:sz w:val="24"/>
          <w:szCs w:val="24"/>
        </w:rPr>
        <w:t>panoramic</w:t>
      </w:r>
      <w:r>
        <w:rPr>
          <w:rFonts w:ascii="Times New Roman" w:eastAsia="Times New Roman" w:hAnsi="Times New Roman" w:cs="Times New Roman"/>
          <w:color w:val="231F20"/>
          <w:sz w:val="24"/>
          <w:szCs w:val="24"/>
        </w:rPr>
        <w:t xml:space="preserve"> imaging is not completely reliable for complex surgical procedures like </w:t>
      </w:r>
      <w:r w:rsidR="00B824BE">
        <w:rPr>
          <w:rFonts w:ascii="Times New Roman" w:eastAsia="Times New Roman" w:hAnsi="Times New Roman" w:cs="Times New Roman"/>
          <w:color w:val="231F20"/>
          <w:sz w:val="24"/>
          <w:szCs w:val="24"/>
        </w:rPr>
        <w:t>osteotomies, implant placement</w:t>
      </w:r>
      <w:r>
        <w:rPr>
          <w:rFonts w:ascii="Times New Roman" w:eastAsia="Times New Roman" w:hAnsi="Times New Roman" w:cs="Times New Roman"/>
          <w:color w:val="231F20"/>
          <w:sz w:val="24"/>
          <w:szCs w:val="24"/>
        </w:rPr>
        <w:t>,</w:t>
      </w:r>
      <w:r w:rsidR="00B824BE">
        <w:rPr>
          <w:rFonts w:ascii="Times New Roman" w:eastAsia="Times New Roman" w:hAnsi="Times New Roman" w:cs="Times New Roman"/>
          <w:color w:val="231F20"/>
          <w:sz w:val="24"/>
          <w:szCs w:val="24"/>
        </w:rPr>
        <w:t xml:space="preserve"> </w:t>
      </w:r>
      <w:r>
        <w:rPr>
          <w:rFonts w:ascii="Times New Roman" w:eastAsia="Times New Roman" w:hAnsi="Times New Roman" w:cs="Times New Roman"/>
          <w:color w:val="231F20"/>
          <w:sz w:val="24"/>
          <w:szCs w:val="24"/>
        </w:rPr>
        <w:t>third molar surgeries or repair of fractures .</w:t>
      </w:r>
      <w:r w:rsidR="008C5A3A">
        <w:rPr>
          <w:rFonts w:ascii="Times New Roman" w:eastAsia="Times New Roman" w:hAnsi="Times New Roman" w:cs="Times New Roman"/>
          <w:color w:val="231F20"/>
          <w:sz w:val="24"/>
          <w:szCs w:val="24"/>
          <w:vertAlign w:val="superscript"/>
        </w:rPr>
        <w:t>4-7</w:t>
      </w:r>
    </w:p>
    <w:p w:rsidR="00A6505D" w:rsidRPr="00A6505D" w:rsidRDefault="00A6505D" w:rsidP="00F0316E">
      <w:pPr>
        <w:spacing w:after="0" w:line="240" w:lineRule="auto"/>
        <w:jc w:val="both"/>
        <w:rPr>
          <w:rFonts w:ascii="Times New Roman" w:eastAsia="Times New Roman" w:hAnsi="Times New Roman" w:cs="Times New Roman"/>
          <w:color w:val="231F20"/>
          <w:sz w:val="24"/>
          <w:szCs w:val="24"/>
        </w:rPr>
      </w:pPr>
    </w:p>
    <w:p w:rsidR="00E031A8" w:rsidRPr="008C5A3A" w:rsidRDefault="000666BF">
      <w:pPr>
        <w:tabs>
          <w:tab w:val="left" w:pos="0"/>
          <w:tab w:val="left" w:pos="10440"/>
        </w:tabs>
        <w:autoSpaceDE w:val="0"/>
        <w:autoSpaceDN w:val="0"/>
        <w:adjustRightInd w:val="0"/>
        <w:spacing w:after="0" w:line="240" w:lineRule="auto"/>
        <w:ind w:right="-180"/>
        <w:jc w:val="both"/>
        <w:rPr>
          <w:rFonts w:ascii="Times New Roman" w:eastAsia="Times New Roman" w:hAnsi="Times New Roman" w:cs="Times New Roman"/>
          <w:color w:val="231F20"/>
          <w:sz w:val="24"/>
          <w:szCs w:val="24"/>
          <w:vertAlign w:val="superscript"/>
        </w:rPr>
      </w:pPr>
      <w:r w:rsidRPr="000666BF">
        <w:rPr>
          <w:rFonts w:ascii="Times New Roman" w:eastAsia="Times New Roman" w:hAnsi="Times New Roman" w:cs="Times New Roman"/>
          <w:color w:val="231F20"/>
          <w:sz w:val="24"/>
          <w:szCs w:val="24"/>
        </w:rPr>
        <w:t>Abdulsaheb R J , Najim A A ,et al 2021  performed study on  Visibility of Mandibular Canal on CBCT Cross-Sectional Images in Comparison with Panoramic Radiograph and found that the visibility of MC in region A by CBCT was clearer than OPG, while in region B the visibility was better using OPG</w:t>
      </w:r>
      <w:r w:rsidR="00D208BB">
        <w:rPr>
          <w:rFonts w:ascii="Times New Roman" w:eastAsia="Times New Roman" w:hAnsi="Times New Roman" w:cs="Times New Roman"/>
          <w:color w:val="231F20"/>
          <w:sz w:val="24"/>
          <w:szCs w:val="24"/>
        </w:rPr>
        <w:t xml:space="preserve"> and our study also showed similar findings or results</w:t>
      </w:r>
      <w:r w:rsidR="00E031A8">
        <w:rPr>
          <w:rFonts w:ascii="Times New Roman" w:eastAsia="Times New Roman" w:hAnsi="Times New Roman" w:cs="Times New Roman"/>
          <w:color w:val="231F20"/>
          <w:sz w:val="24"/>
          <w:szCs w:val="24"/>
        </w:rPr>
        <w:t>.</w:t>
      </w:r>
      <w:r w:rsidR="008C5A3A">
        <w:rPr>
          <w:rFonts w:ascii="Times New Roman" w:eastAsia="Times New Roman" w:hAnsi="Times New Roman" w:cs="Times New Roman"/>
          <w:color w:val="231F20"/>
          <w:sz w:val="24"/>
          <w:szCs w:val="24"/>
          <w:vertAlign w:val="superscript"/>
        </w:rPr>
        <w:t>3</w:t>
      </w:r>
    </w:p>
    <w:p w:rsidR="00E031A8" w:rsidRDefault="00E031A8">
      <w:pPr>
        <w:tabs>
          <w:tab w:val="left" w:pos="0"/>
          <w:tab w:val="left" w:pos="10440"/>
        </w:tabs>
        <w:autoSpaceDE w:val="0"/>
        <w:autoSpaceDN w:val="0"/>
        <w:adjustRightInd w:val="0"/>
        <w:spacing w:after="0" w:line="240" w:lineRule="auto"/>
        <w:ind w:right="-180"/>
        <w:jc w:val="both"/>
        <w:rPr>
          <w:rFonts w:ascii="Times New Roman" w:eastAsia="Times New Roman" w:hAnsi="Times New Roman" w:cs="Times New Roman"/>
          <w:color w:val="231F20"/>
          <w:sz w:val="24"/>
          <w:szCs w:val="24"/>
        </w:rPr>
      </w:pPr>
    </w:p>
    <w:p w:rsidR="00E031A8" w:rsidRPr="008C5A3A" w:rsidRDefault="00D208BB">
      <w:pPr>
        <w:tabs>
          <w:tab w:val="left" w:pos="0"/>
          <w:tab w:val="left" w:pos="10440"/>
        </w:tabs>
        <w:autoSpaceDE w:val="0"/>
        <w:autoSpaceDN w:val="0"/>
        <w:adjustRightInd w:val="0"/>
        <w:spacing w:after="0" w:line="240" w:lineRule="auto"/>
        <w:ind w:right="-180"/>
        <w:jc w:val="both"/>
        <w:rPr>
          <w:rFonts w:ascii="Times New Roman" w:eastAsia="Times New Roman" w:hAnsi="Times New Roman" w:cs="Times New Roman"/>
          <w:color w:val="231F20"/>
          <w:sz w:val="24"/>
          <w:szCs w:val="24"/>
          <w:vertAlign w:val="superscript"/>
        </w:rPr>
      </w:pPr>
      <w:r>
        <w:rPr>
          <w:rFonts w:ascii="Times New Roman" w:eastAsia="Times New Roman" w:hAnsi="Times New Roman" w:cs="Times New Roman"/>
          <w:color w:val="231F20"/>
          <w:sz w:val="24"/>
          <w:szCs w:val="24"/>
        </w:rPr>
        <w:t xml:space="preserve"> wherein </w:t>
      </w:r>
      <w:r w:rsidR="000666BF" w:rsidRPr="000666BF">
        <w:rPr>
          <w:rFonts w:ascii="Times New Roman" w:eastAsia="Times New Roman" w:hAnsi="Times New Roman" w:cs="Times New Roman"/>
          <w:color w:val="231F20"/>
          <w:sz w:val="24"/>
          <w:szCs w:val="24"/>
        </w:rPr>
        <w:t xml:space="preserve">Kamrun N, Tetsumura A et al (2013) </w:t>
      </w:r>
      <w:r>
        <w:rPr>
          <w:rFonts w:ascii="Times New Roman" w:eastAsia="Times New Roman" w:hAnsi="Times New Roman" w:cs="Times New Roman"/>
          <w:color w:val="231F20"/>
          <w:sz w:val="24"/>
          <w:szCs w:val="24"/>
        </w:rPr>
        <w:t>found  that Visibilty of MC in region A by CBCT was clearer than OPG, while in region B the visibility was better using OPG ,this study is also in coherence with our study</w:t>
      </w:r>
      <w:r w:rsidR="00E031A8">
        <w:rPr>
          <w:rFonts w:ascii="Times New Roman" w:eastAsia="Times New Roman" w:hAnsi="Times New Roman" w:cs="Times New Roman"/>
          <w:color w:val="231F20"/>
          <w:sz w:val="24"/>
          <w:szCs w:val="24"/>
        </w:rPr>
        <w:t>.</w:t>
      </w:r>
      <w:r w:rsidR="00156363">
        <w:rPr>
          <w:rFonts w:ascii="Times New Roman" w:eastAsia="Times New Roman" w:hAnsi="Times New Roman" w:cs="Times New Roman"/>
          <w:color w:val="231F20"/>
          <w:sz w:val="24"/>
          <w:szCs w:val="24"/>
          <w:vertAlign w:val="superscript"/>
        </w:rPr>
        <w:t>9</w:t>
      </w:r>
    </w:p>
    <w:p w:rsidR="00E031A8" w:rsidRDefault="00E031A8" w:rsidP="00E031A8">
      <w:pPr>
        <w:tabs>
          <w:tab w:val="left" w:pos="0"/>
          <w:tab w:val="left" w:pos="10440"/>
        </w:tabs>
        <w:autoSpaceDE w:val="0"/>
        <w:autoSpaceDN w:val="0"/>
        <w:adjustRightInd w:val="0"/>
        <w:spacing w:after="0" w:line="240" w:lineRule="auto"/>
        <w:ind w:right="-180"/>
        <w:jc w:val="both"/>
        <w:rPr>
          <w:rFonts w:ascii="Times New Roman" w:eastAsia="Times New Roman" w:hAnsi="Times New Roman" w:cs="Times New Roman"/>
          <w:color w:val="231F20"/>
          <w:sz w:val="24"/>
          <w:szCs w:val="24"/>
        </w:rPr>
      </w:pPr>
    </w:p>
    <w:p w:rsidR="00E031A8" w:rsidRDefault="00E031A8" w:rsidP="00E031A8">
      <w:pPr>
        <w:tabs>
          <w:tab w:val="left" w:pos="0"/>
          <w:tab w:val="left" w:pos="10440"/>
        </w:tabs>
        <w:autoSpaceDE w:val="0"/>
        <w:autoSpaceDN w:val="0"/>
        <w:adjustRightInd w:val="0"/>
        <w:spacing w:after="0" w:line="240" w:lineRule="auto"/>
        <w:ind w:right="-180"/>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 </w:t>
      </w:r>
      <w:r w:rsidRPr="000666BF">
        <w:rPr>
          <w:rFonts w:ascii="Times New Roman" w:eastAsia="Times New Roman" w:hAnsi="Times New Roman" w:cs="Times New Roman"/>
          <w:color w:val="231F20"/>
          <w:sz w:val="24"/>
          <w:szCs w:val="24"/>
        </w:rPr>
        <w:t xml:space="preserve">Jung and Cho in 2014 found that visibility of MC by CBCT was better than by OPG and the visibility of the </w:t>
      </w:r>
    </w:p>
    <w:p w:rsidR="00E031A8" w:rsidRPr="005E5CC9" w:rsidRDefault="00E031A8" w:rsidP="00E031A8">
      <w:pPr>
        <w:tabs>
          <w:tab w:val="left" w:pos="0"/>
          <w:tab w:val="left" w:pos="10440"/>
        </w:tabs>
        <w:autoSpaceDE w:val="0"/>
        <w:autoSpaceDN w:val="0"/>
        <w:adjustRightInd w:val="0"/>
        <w:spacing w:after="0" w:line="240" w:lineRule="auto"/>
        <w:ind w:right="-180"/>
        <w:jc w:val="both"/>
        <w:rPr>
          <w:rFonts w:ascii="Times New Roman" w:eastAsia="Times New Roman" w:hAnsi="Times New Roman" w:cs="Times New Roman"/>
          <w:color w:val="231F20"/>
          <w:sz w:val="24"/>
          <w:szCs w:val="24"/>
          <w:vertAlign w:val="superscript"/>
        </w:rPr>
      </w:pPr>
      <w:r w:rsidRPr="000666BF">
        <w:rPr>
          <w:rFonts w:ascii="Times New Roman" w:eastAsia="Times New Roman" w:hAnsi="Times New Roman" w:cs="Times New Roman"/>
          <w:color w:val="231F20"/>
          <w:sz w:val="24"/>
          <w:szCs w:val="24"/>
        </w:rPr>
        <w:t>canal was decreased by moving further posteriorly. This is in disagreement with our current study which shows visibility of mandibular canal more clear in OPG as compared to CBCT.</w:t>
      </w:r>
      <w:r w:rsidR="005E5CC9">
        <w:rPr>
          <w:rFonts w:ascii="Times New Roman" w:eastAsia="Times New Roman" w:hAnsi="Times New Roman" w:cs="Times New Roman"/>
          <w:color w:val="231F20"/>
          <w:sz w:val="24"/>
          <w:szCs w:val="24"/>
          <w:vertAlign w:val="superscript"/>
        </w:rPr>
        <w:t>1</w:t>
      </w:r>
    </w:p>
    <w:p w:rsidR="00E031A8" w:rsidRDefault="00E031A8">
      <w:pPr>
        <w:tabs>
          <w:tab w:val="left" w:pos="0"/>
          <w:tab w:val="left" w:pos="10440"/>
        </w:tabs>
        <w:autoSpaceDE w:val="0"/>
        <w:autoSpaceDN w:val="0"/>
        <w:adjustRightInd w:val="0"/>
        <w:spacing w:after="0" w:line="240" w:lineRule="auto"/>
        <w:ind w:right="-180"/>
        <w:jc w:val="both"/>
        <w:rPr>
          <w:rFonts w:ascii="Times New Roman" w:eastAsia="Times New Roman" w:hAnsi="Times New Roman" w:cs="Times New Roman"/>
          <w:color w:val="231F20"/>
          <w:sz w:val="24"/>
          <w:szCs w:val="24"/>
        </w:rPr>
      </w:pPr>
    </w:p>
    <w:p w:rsidR="00D208BB" w:rsidRDefault="00E031A8">
      <w:pPr>
        <w:tabs>
          <w:tab w:val="left" w:pos="0"/>
          <w:tab w:val="left" w:pos="10440"/>
        </w:tabs>
        <w:autoSpaceDE w:val="0"/>
        <w:autoSpaceDN w:val="0"/>
        <w:adjustRightInd w:val="0"/>
        <w:spacing w:after="0" w:line="240" w:lineRule="auto"/>
        <w:ind w:right="-180"/>
        <w:jc w:val="both"/>
        <w:rPr>
          <w:rFonts w:ascii="Times New Roman" w:eastAsia="Times New Roman" w:hAnsi="Times New Roman" w:cs="Times New Roman"/>
          <w:color w:val="231F20"/>
          <w:sz w:val="24"/>
          <w:szCs w:val="24"/>
          <w:vertAlign w:val="superscript"/>
        </w:rPr>
      </w:pPr>
      <w:r>
        <w:rPr>
          <w:rFonts w:ascii="Times New Roman" w:eastAsia="Times New Roman" w:hAnsi="Times New Roman" w:cs="Times New Roman"/>
          <w:color w:val="231F20"/>
          <w:sz w:val="24"/>
          <w:szCs w:val="24"/>
        </w:rPr>
        <w:t>whereas study done by oliveira santos et al in 2011 showed variance in visibility of MC wherein they found that visibility of MC is increasing while moving posteriorly in CBCT. This thus is in disagreement with our study as the visibility was better in anterior region according to our result.</w:t>
      </w:r>
      <w:r w:rsidR="005E5CC9">
        <w:rPr>
          <w:rFonts w:ascii="Times New Roman" w:eastAsia="Times New Roman" w:hAnsi="Times New Roman" w:cs="Times New Roman"/>
          <w:color w:val="231F20"/>
          <w:sz w:val="24"/>
          <w:szCs w:val="24"/>
          <w:vertAlign w:val="superscript"/>
        </w:rPr>
        <w:t>4</w:t>
      </w:r>
    </w:p>
    <w:p w:rsidR="005E5CC9" w:rsidRPr="005E5CC9" w:rsidRDefault="005E5CC9">
      <w:pPr>
        <w:tabs>
          <w:tab w:val="left" w:pos="0"/>
          <w:tab w:val="left" w:pos="10440"/>
        </w:tabs>
        <w:autoSpaceDE w:val="0"/>
        <w:autoSpaceDN w:val="0"/>
        <w:adjustRightInd w:val="0"/>
        <w:spacing w:after="0" w:line="240" w:lineRule="auto"/>
        <w:ind w:right="-180"/>
        <w:jc w:val="both"/>
        <w:rPr>
          <w:rFonts w:ascii="Times New Roman" w:eastAsia="Times New Roman" w:hAnsi="Times New Roman" w:cs="Times New Roman"/>
          <w:color w:val="231F20"/>
          <w:sz w:val="24"/>
          <w:szCs w:val="24"/>
          <w:vertAlign w:val="superscript"/>
        </w:rPr>
      </w:pPr>
    </w:p>
    <w:p w:rsidR="004C0E9C" w:rsidRDefault="004C0E9C">
      <w:pPr>
        <w:tabs>
          <w:tab w:val="left" w:pos="0"/>
          <w:tab w:val="left" w:pos="10440"/>
        </w:tabs>
        <w:autoSpaceDE w:val="0"/>
        <w:autoSpaceDN w:val="0"/>
        <w:adjustRightInd w:val="0"/>
        <w:spacing w:after="0" w:line="240" w:lineRule="auto"/>
        <w:ind w:right="-180"/>
        <w:jc w:val="both"/>
        <w:rPr>
          <w:rFonts w:ascii="Times New Roman" w:eastAsia="Times New Roman" w:hAnsi="Times New Roman" w:cs="Times New Roman"/>
          <w:color w:val="231F20"/>
          <w:sz w:val="24"/>
          <w:szCs w:val="24"/>
        </w:rPr>
      </w:pPr>
    </w:p>
    <w:p w:rsidR="004C0E9C" w:rsidRPr="00340453" w:rsidRDefault="00E031A8" w:rsidP="00340453">
      <w:pPr>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 xml:space="preserve">The outcome of the current study reveals less percentage for MC visualization by OPG and this was agreed with </w:t>
      </w:r>
      <w:r w:rsidR="00340453" w:rsidRPr="00340453">
        <w:rPr>
          <w:rFonts w:ascii="Times New Roman" w:eastAsia="Times New Roman" w:hAnsi="Times New Roman" w:cs="Times New Roman"/>
          <w:color w:val="231F20"/>
          <w:sz w:val="24"/>
          <w:szCs w:val="24"/>
        </w:rPr>
        <w:t xml:space="preserve">Naitoh </w:t>
      </w:r>
      <w:r w:rsidR="00340453" w:rsidRPr="00340453">
        <w:rPr>
          <w:rFonts w:ascii="Times New Roman" w:eastAsia="Times New Roman" w:hAnsi="Times New Roman" w:cs="Times New Roman"/>
          <w:i/>
          <w:iCs/>
          <w:color w:val="231F20"/>
          <w:sz w:val="24"/>
          <w:szCs w:val="24"/>
        </w:rPr>
        <w:t>et al</w:t>
      </w:r>
      <w:r w:rsidR="005E5CC9">
        <w:rPr>
          <w:rFonts w:ascii="Times New Roman" w:eastAsia="Times New Roman" w:hAnsi="Times New Roman" w:cs="Times New Roman"/>
          <w:color w:val="231F20"/>
          <w:sz w:val="24"/>
          <w:szCs w:val="24"/>
        </w:rPr>
        <w:t xml:space="preserve"> in 2009</w:t>
      </w:r>
      <w:r w:rsidR="00156363">
        <w:rPr>
          <w:rFonts w:ascii="Times New Roman" w:eastAsia="Times New Roman" w:hAnsi="Times New Roman" w:cs="Times New Roman"/>
          <w:color w:val="231F20"/>
          <w:sz w:val="24"/>
          <w:szCs w:val="24"/>
          <w:vertAlign w:val="superscript"/>
        </w:rPr>
        <w:t>10</w:t>
      </w:r>
      <w:r w:rsidR="005E5CC9">
        <w:rPr>
          <w:rFonts w:ascii="Times New Roman" w:eastAsia="Times New Roman" w:hAnsi="Times New Roman" w:cs="Times New Roman"/>
          <w:color w:val="231F20"/>
          <w:sz w:val="24"/>
          <w:szCs w:val="24"/>
        </w:rPr>
        <w:t>), Jung and Cho in 2014</w:t>
      </w:r>
      <w:r w:rsidR="005E5CC9">
        <w:rPr>
          <w:rFonts w:ascii="Times New Roman" w:eastAsia="Times New Roman" w:hAnsi="Times New Roman" w:cs="Times New Roman"/>
          <w:color w:val="231F20"/>
          <w:sz w:val="24"/>
          <w:szCs w:val="24"/>
          <w:vertAlign w:val="superscript"/>
        </w:rPr>
        <w:t>1</w:t>
      </w:r>
      <w:r w:rsidR="00340453" w:rsidRPr="00340453">
        <w:rPr>
          <w:rFonts w:ascii="Times New Roman" w:eastAsia="Times New Roman" w:hAnsi="Times New Roman" w:cs="Times New Roman"/>
          <w:color w:val="231F20"/>
          <w:sz w:val="24"/>
          <w:szCs w:val="24"/>
        </w:rPr>
        <w:t xml:space="preserve">), and Lindh </w:t>
      </w:r>
      <w:r w:rsidR="00340453" w:rsidRPr="00340453">
        <w:rPr>
          <w:rFonts w:ascii="Times New Roman" w:eastAsia="Times New Roman" w:hAnsi="Times New Roman" w:cs="Times New Roman"/>
          <w:i/>
          <w:iCs/>
          <w:color w:val="231F20"/>
          <w:sz w:val="24"/>
          <w:szCs w:val="24"/>
        </w:rPr>
        <w:t>et al</w:t>
      </w:r>
      <w:r w:rsidR="005E5CC9">
        <w:rPr>
          <w:rFonts w:ascii="Times New Roman" w:eastAsia="Times New Roman" w:hAnsi="Times New Roman" w:cs="Times New Roman"/>
          <w:color w:val="231F20"/>
          <w:sz w:val="24"/>
          <w:szCs w:val="24"/>
        </w:rPr>
        <w:t xml:space="preserve"> in 198</w:t>
      </w:r>
      <w:r w:rsidR="005E5CC9">
        <w:rPr>
          <w:rFonts w:ascii="Times New Roman" w:eastAsia="Times New Roman" w:hAnsi="Times New Roman" w:cs="Times New Roman"/>
          <w:color w:val="231F20"/>
          <w:sz w:val="24"/>
          <w:szCs w:val="24"/>
          <w:vertAlign w:val="superscript"/>
        </w:rPr>
        <w:t>1</w:t>
      </w:r>
      <w:r w:rsidR="00156363">
        <w:rPr>
          <w:rFonts w:ascii="Times New Roman" w:eastAsia="Times New Roman" w:hAnsi="Times New Roman" w:cs="Times New Roman"/>
          <w:color w:val="231F20"/>
          <w:sz w:val="24"/>
          <w:szCs w:val="24"/>
          <w:vertAlign w:val="superscript"/>
        </w:rPr>
        <w:t>1</w:t>
      </w:r>
      <w:r w:rsidR="00340453" w:rsidRPr="00340453">
        <w:rPr>
          <w:rFonts w:ascii="Times New Roman" w:eastAsia="Times New Roman" w:hAnsi="Times New Roman" w:cs="Times New Roman"/>
          <w:color w:val="231F20"/>
          <w:sz w:val="24"/>
          <w:szCs w:val="24"/>
        </w:rPr>
        <w:t>).</w:t>
      </w:r>
      <w:r w:rsidR="00340453" w:rsidRPr="00340453">
        <w:rPr>
          <w:rFonts w:ascii="Times New Roman" w:hAnsi="Times New Roman" w:cs="Times New Roman"/>
          <w:color w:val="231F20"/>
          <w:sz w:val="24"/>
          <w:szCs w:val="24"/>
        </w:rPr>
        <w:t xml:space="preserve"> </w:t>
      </w:r>
      <w:r w:rsidR="00340453" w:rsidRPr="00340453">
        <w:rPr>
          <w:rFonts w:ascii="Times New Roman" w:eastAsia="Times New Roman" w:hAnsi="Times New Roman" w:cs="Times New Roman"/>
          <w:color w:val="231F20"/>
          <w:sz w:val="24"/>
          <w:szCs w:val="24"/>
        </w:rPr>
        <w:t>CBCT reported sup</w:t>
      </w:r>
      <w:r w:rsidR="00340453">
        <w:rPr>
          <w:rFonts w:ascii="Times New Roman" w:eastAsia="Times New Roman" w:hAnsi="Times New Roman" w:cs="Times New Roman"/>
          <w:color w:val="231F20"/>
          <w:sz w:val="24"/>
          <w:szCs w:val="24"/>
        </w:rPr>
        <w:t>e</w:t>
      </w:r>
      <w:r w:rsidR="00340453" w:rsidRPr="00340453">
        <w:rPr>
          <w:rFonts w:ascii="Times New Roman" w:eastAsia="Times New Roman" w:hAnsi="Times New Roman" w:cs="Times New Roman"/>
          <w:color w:val="231F20"/>
          <w:sz w:val="24"/>
          <w:szCs w:val="24"/>
        </w:rPr>
        <w:t xml:space="preserve">rior results as compared to OPG for the identification of the MC, which is in line with Kamrun </w:t>
      </w:r>
      <w:r w:rsidR="00340453" w:rsidRPr="00340453">
        <w:rPr>
          <w:rFonts w:ascii="Times New Roman" w:eastAsia="Times New Roman" w:hAnsi="Times New Roman" w:cs="Times New Roman"/>
          <w:i/>
          <w:iCs/>
          <w:color w:val="231F20"/>
          <w:sz w:val="24"/>
          <w:szCs w:val="24"/>
        </w:rPr>
        <w:t>et al</w:t>
      </w:r>
      <w:r w:rsidR="00143E07">
        <w:rPr>
          <w:rFonts w:ascii="Times New Roman" w:eastAsia="Times New Roman" w:hAnsi="Times New Roman" w:cs="Times New Roman"/>
          <w:color w:val="231F20"/>
          <w:sz w:val="24"/>
          <w:szCs w:val="24"/>
        </w:rPr>
        <w:t xml:space="preserve"> in 2013</w:t>
      </w:r>
      <w:r w:rsidR="00340453" w:rsidRPr="00340453">
        <w:rPr>
          <w:rFonts w:ascii="Times New Roman" w:eastAsia="Times New Roman" w:hAnsi="Times New Roman" w:cs="Times New Roman"/>
          <w:color w:val="231F20"/>
          <w:sz w:val="24"/>
          <w:szCs w:val="24"/>
        </w:rPr>
        <w:t xml:space="preserve"> who confirmed that the visibility</w:t>
      </w:r>
      <w:r w:rsidR="00340453" w:rsidRPr="00340453">
        <w:rPr>
          <w:rFonts w:ascii="Times New Roman" w:hAnsi="Times New Roman" w:cs="Times New Roman"/>
          <w:color w:val="231F20"/>
          <w:sz w:val="24"/>
          <w:szCs w:val="24"/>
        </w:rPr>
        <w:t xml:space="preserve"> </w:t>
      </w:r>
      <w:r w:rsidR="00340453" w:rsidRPr="00340453">
        <w:rPr>
          <w:rFonts w:ascii="Times New Roman" w:eastAsia="Times New Roman" w:hAnsi="Times New Roman" w:cs="Times New Roman"/>
          <w:color w:val="231F20"/>
          <w:sz w:val="24"/>
          <w:szCs w:val="24"/>
        </w:rPr>
        <w:t>of cross-sectional CT images was significantly higher than that of pa</w:t>
      </w:r>
      <w:r w:rsidR="00340453">
        <w:rPr>
          <w:rFonts w:ascii="Times New Roman" w:eastAsia="Times New Roman" w:hAnsi="Times New Roman" w:cs="Times New Roman"/>
          <w:color w:val="231F20"/>
          <w:sz w:val="24"/>
          <w:szCs w:val="24"/>
        </w:rPr>
        <w:t>n</w:t>
      </w:r>
      <w:r w:rsidR="00340453" w:rsidRPr="00340453">
        <w:rPr>
          <w:rFonts w:ascii="Times New Roman" w:eastAsia="Times New Roman" w:hAnsi="Times New Roman" w:cs="Times New Roman"/>
          <w:color w:val="231F20"/>
          <w:sz w:val="24"/>
          <w:szCs w:val="24"/>
        </w:rPr>
        <w:t>oramic images of the MC.</w:t>
      </w:r>
    </w:p>
    <w:p w:rsidR="004C0E9C" w:rsidRPr="00340453" w:rsidRDefault="004C0E9C">
      <w:pPr>
        <w:tabs>
          <w:tab w:val="left" w:pos="0"/>
          <w:tab w:val="left" w:pos="10440"/>
        </w:tabs>
        <w:autoSpaceDE w:val="0"/>
        <w:autoSpaceDN w:val="0"/>
        <w:adjustRightInd w:val="0"/>
        <w:spacing w:after="0" w:line="240" w:lineRule="auto"/>
        <w:ind w:right="-180"/>
        <w:jc w:val="both"/>
        <w:rPr>
          <w:rFonts w:ascii="Times New Roman" w:eastAsia="Times New Roman" w:hAnsi="Times New Roman" w:cs="Times New Roman"/>
          <w:color w:val="231F20"/>
          <w:sz w:val="24"/>
          <w:szCs w:val="24"/>
        </w:rPr>
      </w:pPr>
    </w:p>
    <w:p w:rsidR="008C67D6" w:rsidRPr="00340453" w:rsidRDefault="000666BF">
      <w:pPr>
        <w:tabs>
          <w:tab w:val="left" w:pos="0"/>
          <w:tab w:val="left" w:pos="10440"/>
        </w:tabs>
        <w:autoSpaceDE w:val="0"/>
        <w:autoSpaceDN w:val="0"/>
        <w:adjustRightInd w:val="0"/>
        <w:spacing w:after="0" w:line="240" w:lineRule="auto"/>
        <w:ind w:right="-180"/>
        <w:jc w:val="both"/>
        <w:rPr>
          <w:rFonts w:ascii="Times New Roman" w:eastAsia="Times New Roman" w:hAnsi="Times New Roman" w:cs="Times New Roman"/>
          <w:color w:val="231F20"/>
          <w:sz w:val="24"/>
          <w:szCs w:val="24"/>
          <w:vertAlign w:val="superscript"/>
        </w:rPr>
      </w:pPr>
      <w:r w:rsidRPr="00340453">
        <w:rPr>
          <w:rFonts w:ascii="Times New Roman" w:eastAsia="Times New Roman" w:hAnsi="Times New Roman" w:cs="Times New Roman"/>
          <w:color w:val="231F20"/>
          <w:sz w:val="24"/>
          <w:szCs w:val="24"/>
        </w:rPr>
        <w:cr/>
      </w:r>
    </w:p>
    <w:p w:rsidR="008C67D6" w:rsidRDefault="008C67D6">
      <w:pPr>
        <w:jc w:val="center"/>
        <w:rPr>
          <w:b/>
          <w:sz w:val="28"/>
          <w:szCs w:val="28"/>
          <w:u w:val="single"/>
        </w:rPr>
      </w:pPr>
    </w:p>
    <w:p w:rsidR="004013A4" w:rsidRDefault="004013A4">
      <w:pPr>
        <w:jc w:val="center"/>
        <w:rPr>
          <w:b/>
          <w:sz w:val="28"/>
          <w:szCs w:val="28"/>
          <w:u w:val="single"/>
        </w:rPr>
      </w:pPr>
    </w:p>
    <w:p w:rsidR="004013A4" w:rsidRDefault="004013A4">
      <w:pPr>
        <w:jc w:val="center"/>
        <w:rPr>
          <w:b/>
          <w:sz w:val="28"/>
          <w:szCs w:val="28"/>
          <w:u w:val="single"/>
        </w:rPr>
      </w:pPr>
    </w:p>
    <w:p w:rsidR="00143E07" w:rsidRDefault="00F539BB" w:rsidP="00F539BB">
      <w:pPr>
        <w:rPr>
          <w:b/>
          <w:sz w:val="28"/>
          <w:szCs w:val="28"/>
        </w:rPr>
      </w:pPr>
      <w:r w:rsidRPr="00F539BB">
        <w:rPr>
          <w:b/>
          <w:sz w:val="28"/>
          <w:szCs w:val="28"/>
        </w:rPr>
        <w:t xml:space="preserve">                                                   </w:t>
      </w:r>
    </w:p>
    <w:p w:rsidR="008C67D6" w:rsidRPr="00F539BB" w:rsidRDefault="00143E07" w:rsidP="00F539BB">
      <w:pPr>
        <w:rPr>
          <w:b/>
          <w:sz w:val="28"/>
          <w:szCs w:val="28"/>
        </w:rPr>
      </w:pPr>
      <w:r>
        <w:rPr>
          <w:b/>
          <w:sz w:val="28"/>
          <w:szCs w:val="28"/>
        </w:rPr>
        <w:t xml:space="preserve">                                           </w:t>
      </w:r>
      <w:r w:rsidR="00F539BB" w:rsidRPr="00F539BB">
        <w:rPr>
          <w:b/>
          <w:sz w:val="28"/>
          <w:szCs w:val="28"/>
        </w:rPr>
        <w:t xml:space="preserve">   </w:t>
      </w:r>
      <w:r w:rsidR="004533DF" w:rsidRPr="00F539BB">
        <w:rPr>
          <w:b/>
          <w:sz w:val="28"/>
          <w:szCs w:val="28"/>
        </w:rPr>
        <w:t>Canal Visibility by region in OPG</w:t>
      </w:r>
    </w:p>
    <w:p w:rsidR="008C67D6" w:rsidRDefault="004533DF">
      <w:r>
        <w:tab/>
      </w:r>
    </w:p>
    <w:p w:rsidR="008C67D6" w:rsidRDefault="008C67D6"/>
    <w:tbl>
      <w:tblPr>
        <w:tblW w:w="2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960"/>
        <w:gridCol w:w="960"/>
      </w:tblGrid>
      <w:tr w:rsidR="008C67D6">
        <w:trPr>
          <w:trHeight w:val="30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8C67D6" w:rsidRDefault="008C67D6">
            <w:pPr>
              <w:spacing w:before="100" w:beforeAutospacing="1" w:after="0" w:line="273" w:lineRule="auto"/>
              <w:rPr>
                <w:rFonts w:ascii="Calibri" w:hAnsi="Calibri" w:cs="Calibri"/>
                <w:color w:val="000000"/>
              </w:rPr>
            </w:pPr>
          </w:p>
        </w:tc>
        <w:tc>
          <w:tcPr>
            <w:tcW w:w="960" w:type="dxa"/>
            <w:tcBorders>
              <w:top w:val="single" w:sz="4" w:space="0" w:color="auto"/>
              <w:left w:val="single" w:sz="4" w:space="0" w:color="auto"/>
              <w:bottom w:val="single" w:sz="4" w:space="0" w:color="auto"/>
              <w:right w:val="single" w:sz="4" w:space="0" w:color="auto"/>
            </w:tcBorders>
            <w:noWrap/>
            <w:vAlign w:val="bottom"/>
          </w:tcPr>
          <w:p w:rsidR="008C67D6" w:rsidRDefault="004533DF">
            <w:pPr>
              <w:spacing w:before="100" w:beforeAutospacing="1" w:after="0" w:line="273" w:lineRule="auto"/>
              <w:rPr>
                <w:rFonts w:ascii="Calibri" w:hAnsi="Calibri" w:cs="Calibri"/>
                <w:color w:val="000000"/>
              </w:rPr>
            </w:pPr>
            <w:r>
              <w:rPr>
                <w:rFonts w:cs="Calibri"/>
                <w:color w:val="000000"/>
              </w:rPr>
              <w:t>Obs 1</w:t>
            </w:r>
          </w:p>
        </w:tc>
        <w:tc>
          <w:tcPr>
            <w:tcW w:w="960" w:type="dxa"/>
            <w:tcBorders>
              <w:top w:val="single" w:sz="4" w:space="0" w:color="auto"/>
              <w:left w:val="single" w:sz="4" w:space="0" w:color="auto"/>
              <w:bottom w:val="single" w:sz="4" w:space="0" w:color="auto"/>
              <w:right w:val="single" w:sz="4" w:space="0" w:color="auto"/>
            </w:tcBorders>
            <w:noWrap/>
            <w:vAlign w:val="bottom"/>
          </w:tcPr>
          <w:p w:rsidR="008C67D6" w:rsidRDefault="004533DF">
            <w:pPr>
              <w:spacing w:before="100" w:beforeAutospacing="1" w:after="0" w:line="273" w:lineRule="auto"/>
              <w:rPr>
                <w:rFonts w:ascii="Calibri" w:hAnsi="Calibri" w:cs="Calibri"/>
                <w:color w:val="000000"/>
              </w:rPr>
            </w:pPr>
            <w:r>
              <w:rPr>
                <w:rFonts w:cs="Calibri"/>
                <w:color w:val="000000"/>
              </w:rPr>
              <w:t>Obs 2</w:t>
            </w:r>
          </w:p>
        </w:tc>
      </w:tr>
      <w:tr w:rsidR="008C67D6">
        <w:trPr>
          <w:trHeight w:val="30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8C67D6" w:rsidRDefault="004533DF">
            <w:pPr>
              <w:spacing w:before="100" w:beforeAutospacing="1" w:after="0" w:line="273" w:lineRule="auto"/>
              <w:rPr>
                <w:rFonts w:ascii="Calibri" w:hAnsi="Calibri" w:cs="Calibri"/>
                <w:color w:val="000000"/>
              </w:rPr>
            </w:pPr>
            <w:r>
              <w:rPr>
                <w:rFonts w:cs="Calibri"/>
                <w:color w:val="000000"/>
              </w:rPr>
              <w:t>A</w:t>
            </w:r>
          </w:p>
        </w:tc>
        <w:tc>
          <w:tcPr>
            <w:tcW w:w="960" w:type="dxa"/>
            <w:tcBorders>
              <w:top w:val="single" w:sz="4" w:space="0" w:color="auto"/>
              <w:left w:val="single" w:sz="4" w:space="0" w:color="auto"/>
              <w:bottom w:val="single" w:sz="4" w:space="0" w:color="auto"/>
              <w:right w:val="single" w:sz="4" w:space="0" w:color="auto"/>
            </w:tcBorders>
            <w:noWrap/>
            <w:vAlign w:val="bottom"/>
          </w:tcPr>
          <w:p w:rsidR="008C67D6" w:rsidRDefault="004533DF">
            <w:pPr>
              <w:spacing w:before="100" w:beforeAutospacing="1" w:after="0" w:line="273" w:lineRule="auto"/>
              <w:jc w:val="right"/>
              <w:rPr>
                <w:rFonts w:ascii="Calibri" w:hAnsi="Calibri" w:cs="Calibri"/>
                <w:color w:val="000000"/>
              </w:rPr>
            </w:pPr>
            <w:r>
              <w:rPr>
                <w:rFonts w:cs="Calibri"/>
                <w:color w:val="000000"/>
              </w:rPr>
              <w:t>2</w:t>
            </w:r>
          </w:p>
        </w:tc>
        <w:tc>
          <w:tcPr>
            <w:tcW w:w="960" w:type="dxa"/>
            <w:tcBorders>
              <w:top w:val="single" w:sz="4" w:space="0" w:color="auto"/>
              <w:left w:val="single" w:sz="4" w:space="0" w:color="auto"/>
              <w:bottom w:val="single" w:sz="4" w:space="0" w:color="auto"/>
              <w:right w:val="single" w:sz="4" w:space="0" w:color="auto"/>
            </w:tcBorders>
            <w:noWrap/>
            <w:vAlign w:val="bottom"/>
          </w:tcPr>
          <w:p w:rsidR="008C67D6" w:rsidRDefault="004533DF">
            <w:pPr>
              <w:spacing w:before="100" w:beforeAutospacing="1" w:after="0" w:line="273" w:lineRule="auto"/>
              <w:jc w:val="right"/>
              <w:rPr>
                <w:rFonts w:ascii="Calibri" w:hAnsi="Calibri" w:cs="Calibri"/>
                <w:color w:val="000000"/>
              </w:rPr>
            </w:pPr>
            <w:r>
              <w:rPr>
                <w:rFonts w:cs="Calibri"/>
                <w:color w:val="000000"/>
              </w:rPr>
              <w:t>4</w:t>
            </w:r>
          </w:p>
        </w:tc>
      </w:tr>
      <w:tr w:rsidR="008C67D6">
        <w:trPr>
          <w:trHeight w:val="30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8C67D6" w:rsidRDefault="004533DF">
            <w:pPr>
              <w:spacing w:before="100" w:beforeAutospacing="1" w:after="0" w:line="273" w:lineRule="auto"/>
              <w:rPr>
                <w:rFonts w:ascii="Calibri" w:hAnsi="Calibri" w:cs="Calibri"/>
                <w:color w:val="000000"/>
              </w:rPr>
            </w:pPr>
            <w:r>
              <w:rPr>
                <w:rFonts w:cs="Calibri"/>
                <w:color w:val="000000"/>
              </w:rPr>
              <w:t>B</w:t>
            </w:r>
          </w:p>
        </w:tc>
        <w:tc>
          <w:tcPr>
            <w:tcW w:w="960" w:type="dxa"/>
            <w:tcBorders>
              <w:top w:val="single" w:sz="4" w:space="0" w:color="auto"/>
              <w:left w:val="single" w:sz="4" w:space="0" w:color="auto"/>
              <w:bottom w:val="single" w:sz="4" w:space="0" w:color="auto"/>
              <w:right w:val="single" w:sz="4" w:space="0" w:color="auto"/>
            </w:tcBorders>
            <w:noWrap/>
            <w:vAlign w:val="bottom"/>
          </w:tcPr>
          <w:p w:rsidR="008C67D6" w:rsidRDefault="004533DF">
            <w:pPr>
              <w:spacing w:before="100" w:beforeAutospacing="1" w:after="0" w:line="273" w:lineRule="auto"/>
              <w:jc w:val="right"/>
              <w:rPr>
                <w:rFonts w:ascii="Calibri" w:hAnsi="Calibri" w:cs="Calibri"/>
                <w:color w:val="000000"/>
              </w:rPr>
            </w:pPr>
            <w:r>
              <w:rPr>
                <w:rFonts w:cs="Calibri"/>
                <w:color w:val="000000"/>
              </w:rPr>
              <w:t>2</w:t>
            </w:r>
          </w:p>
        </w:tc>
        <w:tc>
          <w:tcPr>
            <w:tcW w:w="960" w:type="dxa"/>
            <w:tcBorders>
              <w:top w:val="single" w:sz="4" w:space="0" w:color="auto"/>
              <w:left w:val="single" w:sz="4" w:space="0" w:color="auto"/>
              <w:bottom w:val="single" w:sz="4" w:space="0" w:color="auto"/>
              <w:right w:val="single" w:sz="4" w:space="0" w:color="auto"/>
            </w:tcBorders>
            <w:noWrap/>
            <w:vAlign w:val="bottom"/>
          </w:tcPr>
          <w:p w:rsidR="008C67D6" w:rsidRDefault="004533DF">
            <w:pPr>
              <w:spacing w:before="100" w:beforeAutospacing="1" w:after="0" w:line="273" w:lineRule="auto"/>
              <w:jc w:val="right"/>
              <w:rPr>
                <w:rFonts w:ascii="Calibri" w:hAnsi="Calibri" w:cs="Calibri"/>
                <w:color w:val="000000"/>
              </w:rPr>
            </w:pPr>
            <w:r>
              <w:rPr>
                <w:rFonts w:cs="Calibri"/>
                <w:color w:val="000000"/>
              </w:rPr>
              <w:t>12</w:t>
            </w:r>
          </w:p>
        </w:tc>
      </w:tr>
      <w:tr w:rsidR="008C67D6">
        <w:trPr>
          <w:trHeight w:val="30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8C67D6" w:rsidRDefault="004533DF">
            <w:pPr>
              <w:spacing w:before="100" w:beforeAutospacing="1" w:after="0" w:line="273" w:lineRule="auto"/>
              <w:rPr>
                <w:rFonts w:ascii="Calibri" w:hAnsi="Calibri" w:cs="Calibri"/>
                <w:color w:val="000000"/>
              </w:rPr>
            </w:pPr>
            <w:r>
              <w:rPr>
                <w:rFonts w:cs="Calibri"/>
                <w:color w:val="000000"/>
              </w:rPr>
              <w:t>C</w:t>
            </w:r>
          </w:p>
        </w:tc>
        <w:tc>
          <w:tcPr>
            <w:tcW w:w="960" w:type="dxa"/>
            <w:tcBorders>
              <w:top w:val="single" w:sz="4" w:space="0" w:color="auto"/>
              <w:left w:val="single" w:sz="4" w:space="0" w:color="auto"/>
              <w:bottom w:val="single" w:sz="4" w:space="0" w:color="auto"/>
              <w:right w:val="single" w:sz="4" w:space="0" w:color="auto"/>
            </w:tcBorders>
            <w:noWrap/>
            <w:vAlign w:val="bottom"/>
          </w:tcPr>
          <w:p w:rsidR="008C67D6" w:rsidRDefault="004533DF">
            <w:pPr>
              <w:spacing w:before="100" w:beforeAutospacing="1" w:after="0" w:line="273" w:lineRule="auto"/>
              <w:jc w:val="right"/>
              <w:rPr>
                <w:rFonts w:ascii="Calibri" w:hAnsi="Calibri" w:cs="Calibri"/>
                <w:color w:val="000000"/>
              </w:rPr>
            </w:pPr>
            <w:r>
              <w:rPr>
                <w:rFonts w:cs="Calibri"/>
                <w:color w:val="000000"/>
              </w:rPr>
              <w:t>12</w:t>
            </w:r>
          </w:p>
        </w:tc>
        <w:tc>
          <w:tcPr>
            <w:tcW w:w="960" w:type="dxa"/>
            <w:tcBorders>
              <w:top w:val="single" w:sz="4" w:space="0" w:color="auto"/>
              <w:left w:val="single" w:sz="4" w:space="0" w:color="auto"/>
              <w:bottom w:val="single" w:sz="4" w:space="0" w:color="auto"/>
              <w:right w:val="single" w:sz="4" w:space="0" w:color="auto"/>
            </w:tcBorders>
            <w:noWrap/>
            <w:vAlign w:val="bottom"/>
          </w:tcPr>
          <w:p w:rsidR="008C67D6" w:rsidRDefault="004533DF">
            <w:pPr>
              <w:spacing w:before="100" w:beforeAutospacing="1" w:after="0" w:line="273" w:lineRule="auto"/>
              <w:jc w:val="right"/>
              <w:rPr>
                <w:rFonts w:ascii="Calibri" w:hAnsi="Calibri" w:cs="Calibri"/>
                <w:color w:val="000000"/>
              </w:rPr>
            </w:pPr>
            <w:r>
              <w:rPr>
                <w:rFonts w:cs="Calibri"/>
                <w:color w:val="000000"/>
              </w:rPr>
              <w:t>20</w:t>
            </w:r>
          </w:p>
        </w:tc>
      </w:tr>
      <w:tr w:rsidR="008C67D6">
        <w:trPr>
          <w:trHeight w:val="30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8C67D6" w:rsidRDefault="004533DF">
            <w:pPr>
              <w:spacing w:before="100" w:beforeAutospacing="1" w:after="0" w:line="273" w:lineRule="auto"/>
              <w:rPr>
                <w:rFonts w:ascii="Calibri" w:hAnsi="Calibri" w:cs="Calibri"/>
                <w:color w:val="000000"/>
              </w:rPr>
            </w:pPr>
            <w:r>
              <w:rPr>
                <w:rFonts w:cs="Calibri"/>
                <w:color w:val="000000"/>
              </w:rPr>
              <w:t>D</w:t>
            </w:r>
          </w:p>
        </w:tc>
        <w:tc>
          <w:tcPr>
            <w:tcW w:w="960" w:type="dxa"/>
            <w:tcBorders>
              <w:top w:val="single" w:sz="4" w:space="0" w:color="auto"/>
              <w:left w:val="single" w:sz="4" w:space="0" w:color="auto"/>
              <w:bottom w:val="single" w:sz="4" w:space="0" w:color="auto"/>
              <w:right w:val="single" w:sz="4" w:space="0" w:color="auto"/>
            </w:tcBorders>
            <w:noWrap/>
            <w:vAlign w:val="bottom"/>
          </w:tcPr>
          <w:p w:rsidR="008C67D6" w:rsidRDefault="004533DF">
            <w:pPr>
              <w:spacing w:before="100" w:beforeAutospacing="1" w:after="0" w:line="273" w:lineRule="auto"/>
              <w:jc w:val="right"/>
              <w:rPr>
                <w:rFonts w:ascii="Calibri" w:hAnsi="Calibri" w:cs="Calibri"/>
                <w:color w:val="000000"/>
              </w:rPr>
            </w:pPr>
            <w:r>
              <w:rPr>
                <w:rFonts w:cs="Calibri"/>
                <w:color w:val="000000"/>
              </w:rPr>
              <w:t>24</w:t>
            </w:r>
          </w:p>
        </w:tc>
        <w:tc>
          <w:tcPr>
            <w:tcW w:w="960" w:type="dxa"/>
            <w:tcBorders>
              <w:top w:val="single" w:sz="4" w:space="0" w:color="auto"/>
              <w:left w:val="single" w:sz="4" w:space="0" w:color="auto"/>
              <w:bottom w:val="single" w:sz="4" w:space="0" w:color="auto"/>
              <w:right w:val="single" w:sz="4" w:space="0" w:color="auto"/>
            </w:tcBorders>
            <w:noWrap/>
            <w:vAlign w:val="bottom"/>
          </w:tcPr>
          <w:p w:rsidR="008C67D6" w:rsidRDefault="004533DF">
            <w:pPr>
              <w:spacing w:before="100" w:beforeAutospacing="1" w:after="0" w:line="273" w:lineRule="auto"/>
              <w:jc w:val="right"/>
              <w:rPr>
                <w:rFonts w:ascii="Calibri" w:hAnsi="Calibri" w:cs="Calibri"/>
                <w:color w:val="000000"/>
              </w:rPr>
            </w:pPr>
            <w:r>
              <w:rPr>
                <w:rFonts w:cs="Calibri"/>
                <w:color w:val="000000"/>
              </w:rPr>
              <w:t>24</w:t>
            </w:r>
          </w:p>
        </w:tc>
      </w:tr>
    </w:tbl>
    <w:p w:rsidR="008C67D6" w:rsidRDefault="008C67D6">
      <w:pPr>
        <w:jc w:val="center"/>
        <w:rPr>
          <w:rFonts w:ascii="Calibri" w:hAnsi="Calibri"/>
        </w:rPr>
      </w:pPr>
    </w:p>
    <w:p w:rsidR="008C67D6" w:rsidRDefault="008C67D6">
      <w:pPr>
        <w:jc w:val="center"/>
      </w:pPr>
    </w:p>
    <w:p w:rsidR="008C67D6" w:rsidRDefault="004533DF">
      <w:pPr>
        <w:jc w:val="center"/>
      </w:pPr>
      <w:r>
        <w:rPr>
          <w:noProof/>
        </w:rPr>
        <w:drawing>
          <wp:inline distT="0" distB="0" distL="0" distR="0">
            <wp:extent cx="4610100" cy="2750820"/>
            <wp:effectExtent l="19050" t="0" r="0" b="0"/>
            <wp:docPr id="1" name="Picture 1" descr="C:\Users\NEWPC~1\AppData\Local\Temp\ksohtml\wpsA45C.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NEWPC~1\AppData\Local\Temp\ksohtml\wpsA45C.tmp.jpg"/>
                    <pic:cNvPicPr>
                      <a:picLocks noChangeAspect="1" noChangeArrowheads="1"/>
                    </pic:cNvPicPr>
                  </pic:nvPicPr>
                  <pic:blipFill>
                    <a:blip r:embed="rId9"/>
                    <a:srcRect/>
                    <a:stretch>
                      <a:fillRect/>
                    </a:stretch>
                  </pic:blipFill>
                  <pic:spPr>
                    <a:xfrm>
                      <a:off x="0" y="0"/>
                      <a:ext cx="4610100" cy="2750820"/>
                    </a:xfrm>
                    <a:prstGeom prst="rect">
                      <a:avLst/>
                    </a:prstGeom>
                    <a:noFill/>
                    <a:ln w="9525">
                      <a:noFill/>
                      <a:miter lim="800000"/>
                      <a:headEnd/>
                      <a:tailEnd/>
                    </a:ln>
                  </pic:spPr>
                </pic:pic>
              </a:graphicData>
            </a:graphic>
          </wp:inline>
        </w:drawing>
      </w:r>
    </w:p>
    <w:p w:rsidR="008C67D6" w:rsidRDefault="008C67D6">
      <w:pPr>
        <w:jc w:val="center"/>
      </w:pPr>
    </w:p>
    <w:p w:rsidR="008C67D6" w:rsidRDefault="008C67D6">
      <w:pPr>
        <w:jc w:val="center"/>
      </w:pPr>
    </w:p>
    <w:p w:rsidR="008C67D6" w:rsidRDefault="004533DF">
      <w:pPr>
        <w:jc w:val="center"/>
      </w:pPr>
      <w:r>
        <w:t>It was observed that the canal was identified most frequently in region D, followed by region c and least frequently in region B and A by observer 1, similar findings were reported by observer 2.</w:t>
      </w:r>
    </w:p>
    <w:p w:rsidR="008C67D6" w:rsidRDefault="008C67D6">
      <w:pPr>
        <w:tabs>
          <w:tab w:val="left" w:pos="0"/>
          <w:tab w:val="left" w:pos="10440"/>
        </w:tabs>
        <w:autoSpaceDE w:val="0"/>
        <w:autoSpaceDN w:val="0"/>
        <w:adjustRightInd w:val="0"/>
        <w:spacing w:after="0" w:line="240" w:lineRule="auto"/>
        <w:ind w:right="-180"/>
        <w:jc w:val="both"/>
        <w:rPr>
          <w:rFonts w:ascii="Verdana" w:eastAsia="Times New Roman" w:hAnsi="Verdana" w:cs="Times New Roman"/>
          <w:color w:val="231F20"/>
          <w:sz w:val="18"/>
          <w:szCs w:val="18"/>
          <w:vertAlign w:val="superscript"/>
        </w:rPr>
      </w:pPr>
    </w:p>
    <w:p w:rsidR="008C67D6" w:rsidRDefault="008C67D6">
      <w:pPr>
        <w:tabs>
          <w:tab w:val="left" w:pos="0"/>
          <w:tab w:val="left" w:pos="10440"/>
        </w:tabs>
        <w:autoSpaceDE w:val="0"/>
        <w:autoSpaceDN w:val="0"/>
        <w:adjustRightInd w:val="0"/>
        <w:spacing w:after="0" w:line="240" w:lineRule="auto"/>
        <w:ind w:right="-180"/>
        <w:jc w:val="both"/>
        <w:rPr>
          <w:rFonts w:ascii="Verdana" w:eastAsia="Times New Roman" w:hAnsi="Verdana" w:cs="Times New Roman"/>
          <w:color w:val="231F20"/>
          <w:sz w:val="18"/>
          <w:szCs w:val="18"/>
          <w:vertAlign w:val="superscript"/>
        </w:rPr>
      </w:pPr>
    </w:p>
    <w:p w:rsidR="008C67D6" w:rsidRDefault="008C67D6">
      <w:pPr>
        <w:tabs>
          <w:tab w:val="left" w:pos="0"/>
          <w:tab w:val="left" w:pos="10440"/>
        </w:tabs>
        <w:autoSpaceDE w:val="0"/>
        <w:autoSpaceDN w:val="0"/>
        <w:adjustRightInd w:val="0"/>
        <w:spacing w:after="0" w:line="240" w:lineRule="auto"/>
        <w:ind w:right="-180"/>
        <w:jc w:val="both"/>
        <w:rPr>
          <w:rFonts w:ascii="Verdana" w:eastAsia="Times New Roman" w:hAnsi="Verdana" w:cs="Times New Roman"/>
          <w:color w:val="231F20"/>
          <w:sz w:val="18"/>
          <w:szCs w:val="18"/>
          <w:vertAlign w:val="superscript"/>
        </w:rPr>
      </w:pPr>
    </w:p>
    <w:p w:rsidR="008C67D6" w:rsidRDefault="008C67D6">
      <w:pPr>
        <w:tabs>
          <w:tab w:val="left" w:pos="0"/>
          <w:tab w:val="left" w:pos="10440"/>
        </w:tabs>
        <w:autoSpaceDE w:val="0"/>
        <w:autoSpaceDN w:val="0"/>
        <w:adjustRightInd w:val="0"/>
        <w:spacing w:after="0" w:line="240" w:lineRule="auto"/>
        <w:ind w:right="-180"/>
        <w:jc w:val="both"/>
        <w:rPr>
          <w:rFonts w:ascii="Verdana" w:eastAsia="Times New Roman" w:hAnsi="Verdana" w:cs="Times New Roman"/>
          <w:color w:val="231F20"/>
          <w:sz w:val="18"/>
          <w:szCs w:val="18"/>
          <w:vertAlign w:val="superscript"/>
        </w:rPr>
      </w:pPr>
    </w:p>
    <w:p w:rsidR="004533DF" w:rsidRDefault="004533DF">
      <w:pPr>
        <w:jc w:val="center"/>
        <w:rPr>
          <w:b/>
          <w:sz w:val="28"/>
          <w:szCs w:val="28"/>
          <w:u w:val="single"/>
        </w:rPr>
      </w:pPr>
    </w:p>
    <w:p w:rsidR="004533DF" w:rsidRDefault="004533DF">
      <w:pPr>
        <w:jc w:val="center"/>
        <w:rPr>
          <w:b/>
          <w:sz w:val="28"/>
          <w:szCs w:val="28"/>
          <w:u w:val="single"/>
        </w:rPr>
      </w:pPr>
    </w:p>
    <w:p w:rsidR="00143E07" w:rsidRDefault="00143E07">
      <w:pPr>
        <w:jc w:val="center"/>
        <w:rPr>
          <w:b/>
          <w:sz w:val="28"/>
          <w:szCs w:val="28"/>
          <w:u w:val="single"/>
        </w:rPr>
      </w:pPr>
    </w:p>
    <w:p w:rsidR="008C67D6" w:rsidRDefault="004533DF">
      <w:pPr>
        <w:jc w:val="center"/>
        <w:rPr>
          <w:b/>
          <w:sz w:val="28"/>
          <w:szCs w:val="28"/>
          <w:u w:val="single"/>
        </w:rPr>
      </w:pPr>
      <w:r>
        <w:rPr>
          <w:b/>
          <w:sz w:val="28"/>
          <w:szCs w:val="28"/>
          <w:u w:val="single"/>
        </w:rPr>
        <w:t>Canal Visibility by region in CBCT</w:t>
      </w:r>
    </w:p>
    <w:p w:rsidR="008C67D6" w:rsidRDefault="008C67D6">
      <w:pPr>
        <w:jc w:val="center"/>
      </w:pPr>
    </w:p>
    <w:p w:rsidR="008C67D6" w:rsidRDefault="008C67D6">
      <w:pPr>
        <w:jc w:val="center"/>
      </w:pPr>
    </w:p>
    <w:p w:rsidR="008C67D6" w:rsidRDefault="008C67D6">
      <w:pPr>
        <w:jc w:val="center"/>
      </w:pPr>
    </w:p>
    <w:tbl>
      <w:tblPr>
        <w:tblW w:w="2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960"/>
        <w:gridCol w:w="960"/>
      </w:tblGrid>
      <w:tr w:rsidR="008C67D6">
        <w:trPr>
          <w:trHeight w:val="30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8C67D6" w:rsidRDefault="008C67D6">
            <w:pPr>
              <w:spacing w:before="100" w:beforeAutospacing="1" w:after="0" w:line="273" w:lineRule="auto"/>
              <w:rPr>
                <w:rFonts w:ascii="Calibri" w:hAnsi="Calibri" w:cs="Calibri"/>
                <w:color w:val="000000"/>
              </w:rPr>
            </w:pPr>
          </w:p>
        </w:tc>
        <w:tc>
          <w:tcPr>
            <w:tcW w:w="960" w:type="dxa"/>
            <w:tcBorders>
              <w:top w:val="single" w:sz="4" w:space="0" w:color="auto"/>
              <w:left w:val="single" w:sz="4" w:space="0" w:color="auto"/>
              <w:bottom w:val="single" w:sz="4" w:space="0" w:color="auto"/>
              <w:right w:val="single" w:sz="4" w:space="0" w:color="auto"/>
            </w:tcBorders>
            <w:noWrap/>
            <w:vAlign w:val="bottom"/>
          </w:tcPr>
          <w:p w:rsidR="008C67D6" w:rsidRDefault="004533DF">
            <w:pPr>
              <w:spacing w:before="100" w:beforeAutospacing="1" w:after="0" w:line="273" w:lineRule="auto"/>
              <w:rPr>
                <w:rFonts w:ascii="Calibri" w:hAnsi="Calibri" w:cs="Calibri"/>
                <w:color w:val="000000"/>
              </w:rPr>
            </w:pPr>
            <w:r>
              <w:rPr>
                <w:rFonts w:cs="Calibri"/>
                <w:color w:val="000000"/>
              </w:rPr>
              <w:t>Obs 1</w:t>
            </w:r>
          </w:p>
        </w:tc>
        <w:tc>
          <w:tcPr>
            <w:tcW w:w="960" w:type="dxa"/>
            <w:tcBorders>
              <w:top w:val="single" w:sz="4" w:space="0" w:color="auto"/>
              <w:left w:val="single" w:sz="4" w:space="0" w:color="auto"/>
              <w:bottom w:val="single" w:sz="4" w:space="0" w:color="auto"/>
              <w:right w:val="single" w:sz="4" w:space="0" w:color="auto"/>
            </w:tcBorders>
            <w:noWrap/>
            <w:vAlign w:val="bottom"/>
          </w:tcPr>
          <w:p w:rsidR="008C67D6" w:rsidRDefault="004533DF">
            <w:pPr>
              <w:spacing w:before="100" w:beforeAutospacing="1" w:after="0" w:line="273" w:lineRule="auto"/>
              <w:rPr>
                <w:rFonts w:ascii="Calibri" w:hAnsi="Calibri" w:cs="Calibri"/>
                <w:color w:val="000000"/>
              </w:rPr>
            </w:pPr>
            <w:r>
              <w:rPr>
                <w:rFonts w:cs="Calibri"/>
                <w:color w:val="000000"/>
              </w:rPr>
              <w:t>Obs 2</w:t>
            </w:r>
          </w:p>
        </w:tc>
      </w:tr>
      <w:tr w:rsidR="008C67D6">
        <w:trPr>
          <w:trHeight w:val="30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8C67D6" w:rsidRDefault="004533DF">
            <w:pPr>
              <w:spacing w:before="100" w:beforeAutospacing="1" w:after="0" w:line="273" w:lineRule="auto"/>
              <w:rPr>
                <w:rFonts w:ascii="Calibri" w:hAnsi="Calibri" w:cs="Calibri"/>
                <w:color w:val="000000"/>
              </w:rPr>
            </w:pPr>
            <w:r>
              <w:rPr>
                <w:rFonts w:cs="Calibri"/>
                <w:color w:val="000000"/>
              </w:rPr>
              <w:t>A</w:t>
            </w:r>
          </w:p>
        </w:tc>
        <w:tc>
          <w:tcPr>
            <w:tcW w:w="960" w:type="dxa"/>
            <w:tcBorders>
              <w:top w:val="single" w:sz="4" w:space="0" w:color="auto"/>
              <w:left w:val="single" w:sz="4" w:space="0" w:color="auto"/>
              <w:bottom w:val="single" w:sz="4" w:space="0" w:color="auto"/>
              <w:right w:val="single" w:sz="4" w:space="0" w:color="auto"/>
            </w:tcBorders>
            <w:noWrap/>
            <w:vAlign w:val="bottom"/>
          </w:tcPr>
          <w:p w:rsidR="008C67D6" w:rsidRDefault="004533DF">
            <w:pPr>
              <w:spacing w:before="100" w:beforeAutospacing="1" w:after="0" w:line="273" w:lineRule="auto"/>
              <w:jc w:val="right"/>
              <w:rPr>
                <w:rFonts w:ascii="Calibri" w:hAnsi="Calibri" w:cs="Calibri"/>
                <w:color w:val="000000"/>
              </w:rPr>
            </w:pPr>
            <w:r>
              <w:rPr>
                <w:rFonts w:cs="Calibri"/>
                <w:color w:val="000000"/>
              </w:rPr>
              <w:t>28</w:t>
            </w:r>
          </w:p>
        </w:tc>
        <w:tc>
          <w:tcPr>
            <w:tcW w:w="960" w:type="dxa"/>
            <w:tcBorders>
              <w:top w:val="single" w:sz="4" w:space="0" w:color="auto"/>
              <w:left w:val="single" w:sz="4" w:space="0" w:color="auto"/>
              <w:bottom w:val="single" w:sz="4" w:space="0" w:color="auto"/>
              <w:right w:val="single" w:sz="4" w:space="0" w:color="auto"/>
            </w:tcBorders>
            <w:noWrap/>
            <w:vAlign w:val="bottom"/>
          </w:tcPr>
          <w:p w:rsidR="008C67D6" w:rsidRDefault="004533DF">
            <w:pPr>
              <w:spacing w:before="100" w:beforeAutospacing="1" w:after="0" w:line="273" w:lineRule="auto"/>
              <w:jc w:val="right"/>
              <w:rPr>
                <w:rFonts w:ascii="Calibri" w:hAnsi="Calibri" w:cs="Calibri"/>
                <w:color w:val="000000"/>
              </w:rPr>
            </w:pPr>
            <w:r>
              <w:rPr>
                <w:rFonts w:cs="Calibri"/>
                <w:color w:val="000000"/>
              </w:rPr>
              <w:t>25</w:t>
            </w:r>
          </w:p>
        </w:tc>
      </w:tr>
      <w:tr w:rsidR="008C67D6">
        <w:trPr>
          <w:trHeight w:val="30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8C67D6" w:rsidRDefault="004533DF">
            <w:pPr>
              <w:spacing w:before="100" w:beforeAutospacing="1" w:after="0" w:line="273" w:lineRule="auto"/>
              <w:rPr>
                <w:rFonts w:ascii="Calibri" w:hAnsi="Calibri" w:cs="Calibri"/>
                <w:color w:val="000000"/>
              </w:rPr>
            </w:pPr>
            <w:r>
              <w:rPr>
                <w:rFonts w:cs="Calibri"/>
                <w:color w:val="000000"/>
              </w:rPr>
              <w:t>B</w:t>
            </w:r>
          </w:p>
        </w:tc>
        <w:tc>
          <w:tcPr>
            <w:tcW w:w="960" w:type="dxa"/>
            <w:tcBorders>
              <w:top w:val="single" w:sz="4" w:space="0" w:color="auto"/>
              <w:left w:val="single" w:sz="4" w:space="0" w:color="auto"/>
              <w:bottom w:val="single" w:sz="4" w:space="0" w:color="auto"/>
              <w:right w:val="single" w:sz="4" w:space="0" w:color="auto"/>
            </w:tcBorders>
            <w:noWrap/>
            <w:vAlign w:val="bottom"/>
          </w:tcPr>
          <w:p w:rsidR="008C67D6" w:rsidRDefault="004533DF">
            <w:pPr>
              <w:spacing w:before="100" w:beforeAutospacing="1" w:after="0" w:line="273" w:lineRule="auto"/>
              <w:jc w:val="right"/>
              <w:rPr>
                <w:rFonts w:ascii="Calibri" w:hAnsi="Calibri" w:cs="Calibri"/>
                <w:color w:val="000000"/>
              </w:rPr>
            </w:pPr>
            <w:r>
              <w:rPr>
                <w:rFonts w:cs="Calibri"/>
                <w:color w:val="000000"/>
              </w:rPr>
              <w:t>28</w:t>
            </w:r>
          </w:p>
        </w:tc>
        <w:tc>
          <w:tcPr>
            <w:tcW w:w="960" w:type="dxa"/>
            <w:tcBorders>
              <w:top w:val="single" w:sz="4" w:space="0" w:color="auto"/>
              <w:left w:val="single" w:sz="4" w:space="0" w:color="auto"/>
              <w:bottom w:val="single" w:sz="4" w:space="0" w:color="auto"/>
              <w:right w:val="single" w:sz="4" w:space="0" w:color="auto"/>
            </w:tcBorders>
            <w:noWrap/>
            <w:vAlign w:val="bottom"/>
          </w:tcPr>
          <w:p w:rsidR="008C67D6" w:rsidRDefault="004533DF">
            <w:pPr>
              <w:spacing w:before="100" w:beforeAutospacing="1" w:after="0" w:line="273" w:lineRule="auto"/>
              <w:jc w:val="right"/>
              <w:rPr>
                <w:rFonts w:ascii="Calibri" w:hAnsi="Calibri" w:cs="Calibri"/>
                <w:color w:val="000000"/>
              </w:rPr>
            </w:pPr>
            <w:r>
              <w:rPr>
                <w:rFonts w:cs="Calibri"/>
                <w:color w:val="000000"/>
              </w:rPr>
              <w:t>19</w:t>
            </w:r>
          </w:p>
        </w:tc>
      </w:tr>
      <w:tr w:rsidR="008C67D6">
        <w:trPr>
          <w:trHeight w:val="30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8C67D6" w:rsidRDefault="004533DF">
            <w:pPr>
              <w:spacing w:before="100" w:beforeAutospacing="1" w:after="0" w:line="273" w:lineRule="auto"/>
              <w:rPr>
                <w:rFonts w:ascii="Calibri" w:hAnsi="Calibri" w:cs="Calibri"/>
                <w:color w:val="000000"/>
              </w:rPr>
            </w:pPr>
            <w:r>
              <w:rPr>
                <w:rFonts w:cs="Calibri"/>
                <w:color w:val="000000"/>
              </w:rPr>
              <w:t>C</w:t>
            </w:r>
          </w:p>
        </w:tc>
        <w:tc>
          <w:tcPr>
            <w:tcW w:w="960" w:type="dxa"/>
            <w:tcBorders>
              <w:top w:val="single" w:sz="4" w:space="0" w:color="auto"/>
              <w:left w:val="single" w:sz="4" w:space="0" w:color="auto"/>
              <w:bottom w:val="single" w:sz="4" w:space="0" w:color="auto"/>
              <w:right w:val="single" w:sz="4" w:space="0" w:color="auto"/>
            </w:tcBorders>
            <w:noWrap/>
            <w:vAlign w:val="bottom"/>
          </w:tcPr>
          <w:p w:rsidR="008C67D6" w:rsidRDefault="004533DF">
            <w:pPr>
              <w:spacing w:before="100" w:beforeAutospacing="1" w:after="0" w:line="273" w:lineRule="auto"/>
              <w:jc w:val="right"/>
              <w:rPr>
                <w:rFonts w:ascii="Calibri" w:hAnsi="Calibri" w:cs="Calibri"/>
                <w:color w:val="000000"/>
              </w:rPr>
            </w:pPr>
            <w:r>
              <w:rPr>
                <w:rFonts w:cs="Calibri"/>
                <w:color w:val="000000"/>
              </w:rPr>
              <w:t>27</w:t>
            </w:r>
          </w:p>
        </w:tc>
        <w:tc>
          <w:tcPr>
            <w:tcW w:w="960" w:type="dxa"/>
            <w:tcBorders>
              <w:top w:val="single" w:sz="4" w:space="0" w:color="auto"/>
              <w:left w:val="single" w:sz="4" w:space="0" w:color="auto"/>
              <w:bottom w:val="single" w:sz="4" w:space="0" w:color="auto"/>
              <w:right w:val="single" w:sz="4" w:space="0" w:color="auto"/>
            </w:tcBorders>
            <w:noWrap/>
            <w:vAlign w:val="bottom"/>
          </w:tcPr>
          <w:p w:rsidR="008C67D6" w:rsidRDefault="004533DF">
            <w:pPr>
              <w:spacing w:before="100" w:beforeAutospacing="1" w:after="0" w:line="273" w:lineRule="auto"/>
              <w:jc w:val="right"/>
              <w:rPr>
                <w:rFonts w:ascii="Calibri" w:hAnsi="Calibri" w:cs="Calibri"/>
                <w:color w:val="000000"/>
              </w:rPr>
            </w:pPr>
            <w:r>
              <w:rPr>
                <w:rFonts w:cs="Calibri"/>
                <w:color w:val="000000"/>
              </w:rPr>
              <w:t>25</w:t>
            </w:r>
          </w:p>
        </w:tc>
      </w:tr>
      <w:tr w:rsidR="008C67D6">
        <w:trPr>
          <w:trHeight w:val="30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8C67D6" w:rsidRDefault="004533DF">
            <w:pPr>
              <w:spacing w:before="100" w:beforeAutospacing="1" w:after="0" w:line="273" w:lineRule="auto"/>
              <w:rPr>
                <w:rFonts w:ascii="Calibri" w:hAnsi="Calibri" w:cs="Calibri"/>
                <w:color w:val="000000"/>
              </w:rPr>
            </w:pPr>
            <w:r>
              <w:rPr>
                <w:rFonts w:cs="Calibri"/>
                <w:color w:val="000000"/>
              </w:rPr>
              <w:t>D</w:t>
            </w:r>
          </w:p>
        </w:tc>
        <w:tc>
          <w:tcPr>
            <w:tcW w:w="960" w:type="dxa"/>
            <w:tcBorders>
              <w:top w:val="single" w:sz="4" w:space="0" w:color="auto"/>
              <w:left w:val="single" w:sz="4" w:space="0" w:color="auto"/>
              <w:bottom w:val="single" w:sz="4" w:space="0" w:color="auto"/>
              <w:right w:val="single" w:sz="4" w:space="0" w:color="auto"/>
            </w:tcBorders>
            <w:noWrap/>
            <w:vAlign w:val="bottom"/>
          </w:tcPr>
          <w:p w:rsidR="008C67D6" w:rsidRDefault="004533DF">
            <w:pPr>
              <w:spacing w:before="100" w:beforeAutospacing="1" w:after="0" w:line="273" w:lineRule="auto"/>
              <w:jc w:val="right"/>
              <w:rPr>
                <w:rFonts w:ascii="Calibri" w:hAnsi="Calibri" w:cs="Calibri"/>
                <w:color w:val="000000"/>
              </w:rPr>
            </w:pPr>
            <w:r>
              <w:rPr>
                <w:rFonts w:cs="Calibri"/>
                <w:color w:val="000000"/>
              </w:rPr>
              <w:t>21</w:t>
            </w:r>
          </w:p>
        </w:tc>
        <w:tc>
          <w:tcPr>
            <w:tcW w:w="960" w:type="dxa"/>
            <w:tcBorders>
              <w:top w:val="single" w:sz="4" w:space="0" w:color="auto"/>
              <w:left w:val="single" w:sz="4" w:space="0" w:color="auto"/>
              <w:bottom w:val="single" w:sz="4" w:space="0" w:color="auto"/>
              <w:right w:val="single" w:sz="4" w:space="0" w:color="auto"/>
            </w:tcBorders>
            <w:noWrap/>
            <w:vAlign w:val="bottom"/>
          </w:tcPr>
          <w:p w:rsidR="008C67D6" w:rsidRDefault="004533DF">
            <w:pPr>
              <w:spacing w:before="100" w:beforeAutospacing="1" w:after="0" w:line="273" w:lineRule="auto"/>
              <w:jc w:val="right"/>
              <w:rPr>
                <w:rFonts w:ascii="Calibri" w:hAnsi="Calibri" w:cs="Calibri"/>
                <w:color w:val="000000"/>
              </w:rPr>
            </w:pPr>
            <w:r>
              <w:rPr>
                <w:rFonts w:cs="Calibri"/>
                <w:color w:val="000000"/>
              </w:rPr>
              <w:t>24</w:t>
            </w:r>
          </w:p>
        </w:tc>
      </w:tr>
    </w:tbl>
    <w:p w:rsidR="008C67D6" w:rsidRDefault="008C67D6">
      <w:pPr>
        <w:jc w:val="center"/>
        <w:rPr>
          <w:rFonts w:ascii="Calibri" w:hAnsi="Calibri"/>
        </w:rPr>
      </w:pPr>
    </w:p>
    <w:p w:rsidR="008C67D6" w:rsidRDefault="008C67D6">
      <w:pPr>
        <w:jc w:val="center"/>
      </w:pPr>
    </w:p>
    <w:p w:rsidR="008C67D6" w:rsidRDefault="008C67D6">
      <w:pPr>
        <w:jc w:val="center"/>
      </w:pPr>
    </w:p>
    <w:p w:rsidR="008C67D6" w:rsidRDefault="004533DF">
      <w:pPr>
        <w:jc w:val="center"/>
      </w:pPr>
      <w:r>
        <w:rPr>
          <w:noProof/>
        </w:rPr>
        <w:drawing>
          <wp:inline distT="0" distB="0" distL="0" distR="0">
            <wp:extent cx="4579620" cy="2750820"/>
            <wp:effectExtent l="19050" t="0" r="0" b="0"/>
            <wp:docPr id="6" name="Picture 6" descr="C:\Users\NEWPC~1\AppData\Local\Temp\ksohtml\wps4D2A.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NEWPC~1\AppData\Local\Temp\ksohtml\wps4D2A.tmp.jpg"/>
                    <pic:cNvPicPr>
                      <a:picLocks noChangeAspect="1" noChangeArrowheads="1"/>
                    </pic:cNvPicPr>
                  </pic:nvPicPr>
                  <pic:blipFill>
                    <a:blip r:embed="rId10"/>
                    <a:srcRect/>
                    <a:stretch>
                      <a:fillRect/>
                    </a:stretch>
                  </pic:blipFill>
                  <pic:spPr>
                    <a:xfrm>
                      <a:off x="0" y="0"/>
                      <a:ext cx="4579620" cy="2750820"/>
                    </a:xfrm>
                    <a:prstGeom prst="rect">
                      <a:avLst/>
                    </a:prstGeom>
                    <a:noFill/>
                    <a:ln w="9525">
                      <a:noFill/>
                      <a:miter lim="800000"/>
                      <a:headEnd/>
                      <a:tailEnd/>
                    </a:ln>
                  </pic:spPr>
                </pic:pic>
              </a:graphicData>
            </a:graphic>
          </wp:inline>
        </w:drawing>
      </w:r>
    </w:p>
    <w:p w:rsidR="008C67D6" w:rsidRDefault="004533DF">
      <w:pPr>
        <w:jc w:val="center"/>
      </w:pPr>
      <w:r>
        <w:t>It was observed that canal was identified most frequently in region A, followed by region B and least frequently in region C and D by observer 1. While Observer 2 was able to spot the canal most frequently in region A, followed by region D, region C and least frequently in region B.</w:t>
      </w:r>
    </w:p>
    <w:p w:rsidR="00143E07" w:rsidRDefault="00143E07" w:rsidP="00156363">
      <w:pPr>
        <w:rPr>
          <w:b/>
          <w:sz w:val="28"/>
          <w:szCs w:val="28"/>
          <w:u w:val="single"/>
        </w:rPr>
      </w:pPr>
    </w:p>
    <w:p w:rsidR="00143E07" w:rsidRDefault="00143E07">
      <w:pPr>
        <w:jc w:val="center"/>
        <w:rPr>
          <w:b/>
          <w:sz w:val="28"/>
          <w:szCs w:val="28"/>
          <w:u w:val="single"/>
        </w:rPr>
      </w:pPr>
    </w:p>
    <w:p w:rsidR="008C67D6" w:rsidRDefault="004533DF">
      <w:pPr>
        <w:jc w:val="center"/>
        <w:rPr>
          <w:b/>
          <w:sz w:val="28"/>
          <w:szCs w:val="28"/>
          <w:u w:val="single"/>
        </w:rPr>
      </w:pPr>
      <w:r>
        <w:rPr>
          <w:b/>
          <w:sz w:val="28"/>
          <w:szCs w:val="28"/>
          <w:u w:val="single"/>
        </w:rPr>
        <w:t>McNemar’s Agreement Analysis</w:t>
      </w:r>
    </w:p>
    <w:p w:rsidR="008C67D6" w:rsidRDefault="004533DF">
      <w:pPr>
        <w:jc w:val="center"/>
        <w:rPr>
          <w:b/>
          <w:sz w:val="24"/>
          <w:szCs w:val="24"/>
          <w:u w:val="single"/>
        </w:rPr>
      </w:pPr>
      <w:r>
        <w:rPr>
          <w:b/>
          <w:sz w:val="24"/>
          <w:szCs w:val="24"/>
          <w:u w:val="single"/>
        </w:rPr>
        <w:t>OPG</w:t>
      </w:r>
    </w:p>
    <w:p w:rsidR="008C67D6" w:rsidRDefault="008C67D6">
      <w:pPr>
        <w:jc w:val="center"/>
      </w:pPr>
    </w:p>
    <w:tbl>
      <w:tblPr>
        <w:tblW w:w="5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0"/>
        <w:gridCol w:w="1017"/>
        <w:gridCol w:w="1620"/>
      </w:tblGrid>
      <w:tr w:rsidR="008C67D6">
        <w:trPr>
          <w:trHeight w:val="300"/>
          <w:jc w:val="center"/>
        </w:trPr>
        <w:tc>
          <w:tcPr>
            <w:tcW w:w="3160" w:type="dxa"/>
            <w:tcBorders>
              <w:top w:val="single" w:sz="4" w:space="0" w:color="auto"/>
              <w:left w:val="single" w:sz="4" w:space="0" w:color="auto"/>
              <w:bottom w:val="single" w:sz="4" w:space="0" w:color="auto"/>
              <w:right w:val="single" w:sz="4" w:space="0" w:color="auto"/>
            </w:tcBorders>
            <w:shd w:val="clear" w:color="auto" w:fill="E6B8B7"/>
            <w:noWrap/>
            <w:vAlign w:val="bottom"/>
          </w:tcPr>
          <w:p w:rsidR="008C67D6" w:rsidRDefault="004533DF">
            <w:pPr>
              <w:spacing w:before="100" w:beforeAutospacing="1" w:after="0" w:line="273" w:lineRule="auto"/>
              <w:rPr>
                <w:rFonts w:ascii="Calibri" w:hAnsi="Calibri" w:cs="Calibri"/>
                <w:color w:val="000000"/>
              </w:rPr>
            </w:pPr>
            <w:r>
              <w:rPr>
                <w:rFonts w:cs="Calibri"/>
                <w:color w:val="000000"/>
              </w:rPr>
              <w:t>Mc.Nemar agreement analysis</w:t>
            </w:r>
          </w:p>
        </w:tc>
        <w:tc>
          <w:tcPr>
            <w:tcW w:w="940" w:type="dxa"/>
            <w:tcBorders>
              <w:top w:val="single" w:sz="4" w:space="0" w:color="auto"/>
              <w:left w:val="single" w:sz="4" w:space="0" w:color="auto"/>
              <w:bottom w:val="single" w:sz="4" w:space="0" w:color="auto"/>
              <w:right w:val="single" w:sz="4" w:space="0" w:color="auto"/>
            </w:tcBorders>
            <w:shd w:val="clear" w:color="auto" w:fill="E6B8B7"/>
            <w:noWrap/>
            <w:vAlign w:val="bottom"/>
          </w:tcPr>
          <w:p w:rsidR="008C67D6" w:rsidRDefault="004533DF">
            <w:pPr>
              <w:spacing w:before="100" w:beforeAutospacing="1" w:after="0" w:line="273" w:lineRule="auto"/>
              <w:rPr>
                <w:rFonts w:ascii="Calibri" w:hAnsi="Calibri" w:cs="Calibri"/>
                <w:color w:val="000000"/>
              </w:rPr>
            </w:pPr>
            <w:r>
              <w:rPr>
                <w:rFonts w:cs="Calibri"/>
                <w:color w:val="000000"/>
              </w:rPr>
              <w:t> </w:t>
            </w:r>
          </w:p>
        </w:tc>
        <w:tc>
          <w:tcPr>
            <w:tcW w:w="1620" w:type="dxa"/>
            <w:tcBorders>
              <w:top w:val="single" w:sz="4" w:space="0" w:color="auto"/>
              <w:left w:val="single" w:sz="4" w:space="0" w:color="auto"/>
              <w:bottom w:val="single" w:sz="4" w:space="0" w:color="auto"/>
              <w:right w:val="single" w:sz="4" w:space="0" w:color="auto"/>
            </w:tcBorders>
            <w:shd w:val="clear" w:color="auto" w:fill="E6B8B7"/>
            <w:noWrap/>
            <w:vAlign w:val="bottom"/>
          </w:tcPr>
          <w:p w:rsidR="008C67D6" w:rsidRDefault="004533DF">
            <w:pPr>
              <w:spacing w:before="100" w:beforeAutospacing="1" w:after="0" w:line="273" w:lineRule="auto"/>
              <w:rPr>
                <w:rFonts w:ascii="Calibri" w:hAnsi="Calibri" w:cs="Calibri"/>
                <w:color w:val="000000"/>
              </w:rPr>
            </w:pPr>
            <w:r>
              <w:rPr>
                <w:rFonts w:cs="Calibri"/>
                <w:color w:val="000000"/>
              </w:rPr>
              <w:t> </w:t>
            </w:r>
          </w:p>
        </w:tc>
      </w:tr>
      <w:tr w:rsidR="008C67D6">
        <w:trPr>
          <w:trHeight w:val="300"/>
          <w:jc w:val="center"/>
        </w:trPr>
        <w:tc>
          <w:tcPr>
            <w:tcW w:w="3160" w:type="dxa"/>
            <w:tcBorders>
              <w:top w:val="single" w:sz="4" w:space="0" w:color="auto"/>
              <w:left w:val="single" w:sz="4" w:space="0" w:color="auto"/>
              <w:bottom w:val="single" w:sz="4" w:space="0" w:color="auto"/>
              <w:right w:val="single" w:sz="4" w:space="0" w:color="auto"/>
            </w:tcBorders>
            <w:shd w:val="clear" w:color="auto" w:fill="E6B8B7"/>
            <w:noWrap/>
            <w:vAlign w:val="bottom"/>
          </w:tcPr>
          <w:p w:rsidR="008C67D6" w:rsidRDefault="004533DF">
            <w:pPr>
              <w:spacing w:before="100" w:beforeAutospacing="1" w:after="0" w:line="273" w:lineRule="auto"/>
              <w:rPr>
                <w:rFonts w:ascii="Calibri" w:hAnsi="Calibri" w:cs="Calibri"/>
                <w:color w:val="000000"/>
              </w:rPr>
            </w:pPr>
            <w:r>
              <w:rPr>
                <w:rFonts w:cs="Calibri"/>
                <w:color w:val="000000"/>
              </w:rPr>
              <w:t>Region</w:t>
            </w:r>
          </w:p>
        </w:tc>
        <w:tc>
          <w:tcPr>
            <w:tcW w:w="940" w:type="dxa"/>
            <w:tcBorders>
              <w:top w:val="single" w:sz="4" w:space="0" w:color="auto"/>
              <w:left w:val="single" w:sz="4" w:space="0" w:color="auto"/>
              <w:bottom w:val="single" w:sz="4" w:space="0" w:color="auto"/>
              <w:right w:val="single" w:sz="4" w:space="0" w:color="auto"/>
            </w:tcBorders>
            <w:shd w:val="clear" w:color="auto" w:fill="E6B8B7"/>
            <w:noWrap/>
            <w:vAlign w:val="bottom"/>
          </w:tcPr>
          <w:p w:rsidR="008C67D6" w:rsidRDefault="004533DF">
            <w:pPr>
              <w:spacing w:before="100" w:beforeAutospacing="1" w:after="0" w:line="273" w:lineRule="auto"/>
              <w:rPr>
                <w:rFonts w:ascii="Calibri" w:hAnsi="Calibri" w:cs="Calibri"/>
                <w:color w:val="000000"/>
              </w:rPr>
            </w:pPr>
            <w:r>
              <w:rPr>
                <w:rFonts w:cs="Calibri"/>
                <w:color w:val="000000"/>
              </w:rPr>
              <w:t>P Value</w:t>
            </w:r>
          </w:p>
        </w:tc>
        <w:tc>
          <w:tcPr>
            <w:tcW w:w="1620" w:type="dxa"/>
            <w:tcBorders>
              <w:top w:val="single" w:sz="4" w:space="0" w:color="auto"/>
              <w:left w:val="single" w:sz="4" w:space="0" w:color="auto"/>
              <w:bottom w:val="single" w:sz="4" w:space="0" w:color="auto"/>
              <w:right w:val="single" w:sz="4" w:space="0" w:color="auto"/>
            </w:tcBorders>
            <w:shd w:val="clear" w:color="auto" w:fill="E6B8B7"/>
            <w:noWrap/>
            <w:vAlign w:val="bottom"/>
          </w:tcPr>
          <w:p w:rsidR="008C67D6" w:rsidRDefault="004533DF">
            <w:pPr>
              <w:spacing w:before="100" w:beforeAutospacing="1" w:after="0" w:line="273" w:lineRule="auto"/>
              <w:rPr>
                <w:rFonts w:ascii="Calibri" w:hAnsi="Calibri" w:cs="Calibri"/>
                <w:color w:val="000000"/>
              </w:rPr>
            </w:pPr>
            <w:r>
              <w:rPr>
                <w:rFonts w:cs="Calibri"/>
                <w:color w:val="000000"/>
              </w:rPr>
              <w:t>Significance</w:t>
            </w:r>
          </w:p>
        </w:tc>
      </w:tr>
      <w:tr w:rsidR="008C67D6">
        <w:trPr>
          <w:trHeight w:val="315"/>
          <w:jc w:val="center"/>
        </w:trPr>
        <w:tc>
          <w:tcPr>
            <w:tcW w:w="3160" w:type="dxa"/>
            <w:tcBorders>
              <w:top w:val="single" w:sz="4" w:space="0" w:color="auto"/>
              <w:left w:val="single" w:sz="4" w:space="0" w:color="auto"/>
              <w:bottom w:val="single" w:sz="4" w:space="0" w:color="auto"/>
              <w:right w:val="single" w:sz="4" w:space="0" w:color="auto"/>
            </w:tcBorders>
            <w:shd w:val="clear" w:color="auto" w:fill="E6B8B7"/>
            <w:noWrap/>
            <w:vAlign w:val="bottom"/>
          </w:tcPr>
          <w:p w:rsidR="008C67D6" w:rsidRDefault="004533DF">
            <w:pPr>
              <w:spacing w:before="100" w:beforeAutospacing="1" w:after="0" w:line="273" w:lineRule="auto"/>
              <w:rPr>
                <w:rFonts w:ascii="Calibri" w:hAnsi="Calibri" w:cs="Calibri"/>
                <w:color w:val="000000"/>
              </w:rPr>
            </w:pPr>
            <w:r>
              <w:rPr>
                <w:rFonts w:cs="Calibri"/>
                <w:color w:val="000000"/>
              </w:rPr>
              <w:t>Region A</w:t>
            </w:r>
          </w:p>
        </w:tc>
        <w:tc>
          <w:tcPr>
            <w:tcW w:w="940" w:type="dxa"/>
            <w:tcBorders>
              <w:top w:val="single" w:sz="4" w:space="0" w:color="auto"/>
              <w:left w:val="single" w:sz="4" w:space="0" w:color="auto"/>
              <w:bottom w:val="single" w:sz="4" w:space="0" w:color="auto"/>
              <w:right w:val="single" w:sz="4" w:space="0" w:color="auto"/>
            </w:tcBorders>
            <w:shd w:val="clear" w:color="auto" w:fill="E6B8B7"/>
            <w:noWrap/>
            <w:vAlign w:val="bottom"/>
          </w:tcPr>
          <w:p w:rsidR="008C67D6" w:rsidRDefault="004533DF">
            <w:pPr>
              <w:spacing w:before="100" w:beforeAutospacing="1" w:after="0" w:line="273" w:lineRule="auto"/>
              <w:jc w:val="right"/>
              <w:rPr>
                <w:rFonts w:ascii="Arial" w:hAnsi="Arial" w:cs="Arial"/>
                <w:color w:val="000000"/>
                <w:sz w:val="24"/>
                <w:szCs w:val="24"/>
              </w:rPr>
            </w:pPr>
            <w:r>
              <w:rPr>
                <w:rFonts w:ascii="Arial" w:hAnsi="Arial" w:cs="Arial"/>
                <w:color w:val="000000"/>
                <w:sz w:val="24"/>
                <w:szCs w:val="24"/>
              </w:rPr>
              <w:t>0.6171</w:t>
            </w:r>
          </w:p>
        </w:tc>
        <w:tc>
          <w:tcPr>
            <w:tcW w:w="1620" w:type="dxa"/>
            <w:tcBorders>
              <w:top w:val="single" w:sz="4" w:space="0" w:color="auto"/>
              <w:left w:val="single" w:sz="4" w:space="0" w:color="auto"/>
              <w:bottom w:val="single" w:sz="4" w:space="0" w:color="auto"/>
              <w:right w:val="single" w:sz="4" w:space="0" w:color="auto"/>
            </w:tcBorders>
            <w:shd w:val="clear" w:color="auto" w:fill="00B050"/>
            <w:noWrap/>
            <w:vAlign w:val="bottom"/>
          </w:tcPr>
          <w:p w:rsidR="008C67D6" w:rsidRDefault="004533DF">
            <w:pPr>
              <w:spacing w:before="100" w:beforeAutospacing="1" w:after="0" w:line="273" w:lineRule="auto"/>
              <w:rPr>
                <w:rFonts w:ascii="Calibri" w:hAnsi="Calibri" w:cs="Calibri"/>
                <w:color w:val="000000"/>
              </w:rPr>
            </w:pPr>
            <w:r>
              <w:rPr>
                <w:rFonts w:cs="Calibri"/>
                <w:color w:val="000000"/>
              </w:rPr>
              <w:t xml:space="preserve">Not Significant </w:t>
            </w:r>
          </w:p>
        </w:tc>
      </w:tr>
      <w:tr w:rsidR="008C67D6">
        <w:trPr>
          <w:trHeight w:val="315"/>
          <w:jc w:val="center"/>
        </w:trPr>
        <w:tc>
          <w:tcPr>
            <w:tcW w:w="3160" w:type="dxa"/>
            <w:tcBorders>
              <w:top w:val="single" w:sz="4" w:space="0" w:color="auto"/>
              <w:left w:val="single" w:sz="4" w:space="0" w:color="auto"/>
              <w:bottom w:val="single" w:sz="4" w:space="0" w:color="auto"/>
              <w:right w:val="single" w:sz="4" w:space="0" w:color="auto"/>
            </w:tcBorders>
            <w:shd w:val="clear" w:color="auto" w:fill="E6B8B7"/>
            <w:noWrap/>
            <w:vAlign w:val="bottom"/>
          </w:tcPr>
          <w:p w:rsidR="008C67D6" w:rsidRDefault="004533DF">
            <w:pPr>
              <w:spacing w:before="100" w:beforeAutospacing="1" w:after="0" w:line="273" w:lineRule="auto"/>
              <w:rPr>
                <w:rFonts w:ascii="Calibri" w:hAnsi="Calibri" w:cs="Calibri"/>
                <w:color w:val="000000"/>
              </w:rPr>
            </w:pPr>
            <w:r>
              <w:rPr>
                <w:rFonts w:cs="Calibri"/>
                <w:color w:val="000000"/>
              </w:rPr>
              <w:t>Region B</w:t>
            </w:r>
          </w:p>
        </w:tc>
        <w:tc>
          <w:tcPr>
            <w:tcW w:w="940" w:type="dxa"/>
            <w:tcBorders>
              <w:top w:val="single" w:sz="4" w:space="0" w:color="auto"/>
              <w:left w:val="single" w:sz="4" w:space="0" w:color="auto"/>
              <w:bottom w:val="single" w:sz="4" w:space="0" w:color="auto"/>
              <w:right w:val="single" w:sz="4" w:space="0" w:color="auto"/>
            </w:tcBorders>
            <w:shd w:val="clear" w:color="auto" w:fill="E6B8B7"/>
            <w:noWrap/>
            <w:vAlign w:val="bottom"/>
          </w:tcPr>
          <w:p w:rsidR="008C67D6" w:rsidRDefault="004533DF">
            <w:pPr>
              <w:spacing w:before="100" w:beforeAutospacing="1" w:after="0" w:line="273" w:lineRule="auto"/>
              <w:jc w:val="right"/>
              <w:rPr>
                <w:rFonts w:ascii="Arial" w:hAnsi="Arial" w:cs="Arial"/>
                <w:color w:val="000000"/>
                <w:sz w:val="24"/>
                <w:szCs w:val="24"/>
              </w:rPr>
            </w:pPr>
            <w:r>
              <w:rPr>
                <w:rFonts w:ascii="Arial" w:hAnsi="Arial" w:cs="Arial"/>
                <w:color w:val="000000"/>
                <w:sz w:val="24"/>
                <w:szCs w:val="24"/>
              </w:rPr>
              <w:t>0.0094</w:t>
            </w:r>
          </w:p>
        </w:tc>
        <w:tc>
          <w:tcPr>
            <w:tcW w:w="1620" w:type="dxa"/>
            <w:tcBorders>
              <w:top w:val="single" w:sz="4" w:space="0" w:color="auto"/>
              <w:left w:val="single" w:sz="4" w:space="0" w:color="auto"/>
              <w:bottom w:val="single" w:sz="4" w:space="0" w:color="auto"/>
              <w:right w:val="single" w:sz="4" w:space="0" w:color="auto"/>
            </w:tcBorders>
            <w:shd w:val="clear" w:color="auto" w:fill="FF0000"/>
            <w:noWrap/>
            <w:vAlign w:val="bottom"/>
          </w:tcPr>
          <w:p w:rsidR="008C67D6" w:rsidRDefault="004533DF">
            <w:pPr>
              <w:spacing w:before="100" w:beforeAutospacing="1" w:after="0" w:line="273" w:lineRule="auto"/>
              <w:rPr>
                <w:rFonts w:ascii="Calibri" w:hAnsi="Calibri" w:cs="Calibri"/>
                <w:color w:val="000000"/>
              </w:rPr>
            </w:pPr>
            <w:r>
              <w:rPr>
                <w:rFonts w:cs="Calibri"/>
                <w:color w:val="000000"/>
              </w:rPr>
              <w:t xml:space="preserve">Significant </w:t>
            </w:r>
          </w:p>
        </w:tc>
      </w:tr>
      <w:tr w:rsidR="008C67D6">
        <w:trPr>
          <w:trHeight w:val="315"/>
          <w:jc w:val="center"/>
        </w:trPr>
        <w:tc>
          <w:tcPr>
            <w:tcW w:w="3160" w:type="dxa"/>
            <w:tcBorders>
              <w:top w:val="single" w:sz="4" w:space="0" w:color="auto"/>
              <w:left w:val="single" w:sz="4" w:space="0" w:color="auto"/>
              <w:bottom w:val="single" w:sz="4" w:space="0" w:color="auto"/>
              <w:right w:val="single" w:sz="4" w:space="0" w:color="auto"/>
            </w:tcBorders>
            <w:shd w:val="clear" w:color="auto" w:fill="E6B8B7"/>
            <w:noWrap/>
            <w:vAlign w:val="bottom"/>
          </w:tcPr>
          <w:p w:rsidR="008C67D6" w:rsidRDefault="004533DF">
            <w:pPr>
              <w:spacing w:before="100" w:beforeAutospacing="1" w:after="0" w:line="273" w:lineRule="auto"/>
              <w:rPr>
                <w:rFonts w:ascii="Calibri" w:hAnsi="Calibri" w:cs="Calibri"/>
                <w:color w:val="000000"/>
              </w:rPr>
            </w:pPr>
            <w:r>
              <w:rPr>
                <w:rFonts w:cs="Calibri"/>
                <w:color w:val="000000"/>
              </w:rPr>
              <w:t>Region C</w:t>
            </w:r>
          </w:p>
        </w:tc>
        <w:tc>
          <w:tcPr>
            <w:tcW w:w="940" w:type="dxa"/>
            <w:tcBorders>
              <w:top w:val="single" w:sz="4" w:space="0" w:color="auto"/>
              <w:left w:val="single" w:sz="4" w:space="0" w:color="auto"/>
              <w:bottom w:val="single" w:sz="4" w:space="0" w:color="auto"/>
              <w:right w:val="single" w:sz="4" w:space="0" w:color="auto"/>
            </w:tcBorders>
            <w:shd w:val="clear" w:color="auto" w:fill="E6B8B7"/>
            <w:noWrap/>
            <w:vAlign w:val="bottom"/>
          </w:tcPr>
          <w:p w:rsidR="008C67D6" w:rsidRDefault="004533DF">
            <w:pPr>
              <w:spacing w:before="100" w:beforeAutospacing="1" w:after="0" w:line="273" w:lineRule="auto"/>
              <w:rPr>
                <w:rFonts w:ascii="Arial" w:hAnsi="Arial" w:cs="Arial"/>
                <w:color w:val="000000"/>
                <w:sz w:val="24"/>
                <w:szCs w:val="24"/>
              </w:rPr>
            </w:pPr>
            <w:r>
              <w:rPr>
                <w:rFonts w:ascii="Arial" w:hAnsi="Arial" w:cs="Arial"/>
                <w:color w:val="000000"/>
                <w:sz w:val="24"/>
                <w:szCs w:val="24"/>
              </w:rPr>
              <w:t> 0.0614</w:t>
            </w:r>
          </w:p>
        </w:tc>
        <w:tc>
          <w:tcPr>
            <w:tcW w:w="1620" w:type="dxa"/>
            <w:tcBorders>
              <w:top w:val="single" w:sz="4" w:space="0" w:color="auto"/>
              <w:left w:val="single" w:sz="4" w:space="0" w:color="auto"/>
              <w:bottom w:val="single" w:sz="4" w:space="0" w:color="auto"/>
              <w:right w:val="single" w:sz="4" w:space="0" w:color="auto"/>
            </w:tcBorders>
            <w:shd w:val="clear" w:color="auto" w:fill="00B050"/>
            <w:noWrap/>
            <w:vAlign w:val="bottom"/>
          </w:tcPr>
          <w:p w:rsidR="008C67D6" w:rsidRDefault="004533DF">
            <w:pPr>
              <w:spacing w:before="100" w:beforeAutospacing="1" w:after="0" w:line="273" w:lineRule="auto"/>
              <w:rPr>
                <w:rFonts w:ascii="Calibri" w:hAnsi="Calibri" w:cs="Calibri"/>
                <w:color w:val="000000"/>
              </w:rPr>
            </w:pPr>
            <w:r>
              <w:rPr>
                <w:rFonts w:cs="Calibri"/>
                <w:color w:val="000000"/>
              </w:rPr>
              <w:t xml:space="preserve">Not Significant </w:t>
            </w:r>
          </w:p>
        </w:tc>
      </w:tr>
      <w:tr w:rsidR="008C67D6">
        <w:trPr>
          <w:trHeight w:val="315"/>
          <w:jc w:val="center"/>
        </w:trPr>
        <w:tc>
          <w:tcPr>
            <w:tcW w:w="3160" w:type="dxa"/>
            <w:tcBorders>
              <w:top w:val="single" w:sz="4" w:space="0" w:color="auto"/>
              <w:left w:val="single" w:sz="4" w:space="0" w:color="auto"/>
              <w:bottom w:val="single" w:sz="4" w:space="0" w:color="auto"/>
              <w:right w:val="single" w:sz="4" w:space="0" w:color="auto"/>
            </w:tcBorders>
            <w:shd w:val="clear" w:color="auto" w:fill="E6B8B7"/>
            <w:noWrap/>
            <w:vAlign w:val="bottom"/>
          </w:tcPr>
          <w:p w:rsidR="008C67D6" w:rsidRDefault="004533DF">
            <w:pPr>
              <w:spacing w:before="100" w:beforeAutospacing="1" w:after="0" w:line="273" w:lineRule="auto"/>
              <w:rPr>
                <w:rFonts w:ascii="Calibri" w:hAnsi="Calibri" w:cs="Calibri"/>
                <w:color w:val="000000"/>
              </w:rPr>
            </w:pPr>
            <w:r>
              <w:rPr>
                <w:rFonts w:cs="Calibri"/>
                <w:color w:val="000000"/>
              </w:rPr>
              <w:t>Region D</w:t>
            </w:r>
          </w:p>
        </w:tc>
        <w:tc>
          <w:tcPr>
            <w:tcW w:w="940" w:type="dxa"/>
            <w:tcBorders>
              <w:top w:val="single" w:sz="4" w:space="0" w:color="auto"/>
              <w:left w:val="single" w:sz="4" w:space="0" w:color="auto"/>
              <w:bottom w:val="single" w:sz="4" w:space="0" w:color="auto"/>
              <w:right w:val="single" w:sz="4" w:space="0" w:color="auto"/>
            </w:tcBorders>
            <w:shd w:val="clear" w:color="auto" w:fill="E6B8B7"/>
            <w:noWrap/>
            <w:vAlign w:val="bottom"/>
          </w:tcPr>
          <w:p w:rsidR="008C67D6" w:rsidRDefault="004533DF">
            <w:pPr>
              <w:spacing w:before="100" w:beforeAutospacing="1" w:after="0" w:line="273" w:lineRule="auto"/>
              <w:jc w:val="right"/>
              <w:rPr>
                <w:rFonts w:ascii="Arial" w:hAnsi="Arial" w:cs="Arial"/>
                <w:color w:val="000000"/>
                <w:sz w:val="24"/>
                <w:szCs w:val="24"/>
              </w:rPr>
            </w:pPr>
            <w:r>
              <w:rPr>
                <w:rFonts w:ascii="Arial" w:hAnsi="Arial" w:cs="Arial"/>
                <w:color w:val="000000"/>
                <w:sz w:val="24"/>
                <w:szCs w:val="24"/>
              </w:rPr>
              <w:t>0.7237</w:t>
            </w:r>
          </w:p>
        </w:tc>
        <w:tc>
          <w:tcPr>
            <w:tcW w:w="1620" w:type="dxa"/>
            <w:tcBorders>
              <w:top w:val="single" w:sz="4" w:space="0" w:color="auto"/>
              <w:left w:val="single" w:sz="4" w:space="0" w:color="auto"/>
              <w:bottom w:val="single" w:sz="4" w:space="0" w:color="auto"/>
              <w:right w:val="single" w:sz="4" w:space="0" w:color="auto"/>
            </w:tcBorders>
            <w:shd w:val="clear" w:color="auto" w:fill="00B050"/>
            <w:noWrap/>
            <w:vAlign w:val="bottom"/>
          </w:tcPr>
          <w:p w:rsidR="008C67D6" w:rsidRDefault="004533DF">
            <w:pPr>
              <w:spacing w:before="100" w:beforeAutospacing="1" w:after="0" w:line="273" w:lineRule="auto"/>
              <w:rPr>
                <w:rFonts w:ascii="Calibri" w:hAnsi="Calibri" w:cs="Calibri"/>
                <w:color w:val="000000"/>
              </w:rPr>
            </w:pPr>
            <w:r>
              <w:rPr>
                <w:rFonts w:cs="Calibri"/>
                <w:color w:val="000000"/>
              </w:rPr>
              <w:t xml:space="preserve">Not Significant </w:t>
            </w:r>
          </w:p>
        </w:tc>
      </w:tr>
      <w:tr w:rsidR="008C67D6">
        <w:trPr>
          <w:trHeight w:val="300"/>
          <w:jc w:val="center"/>
        </w:trPr>
        <w:tc>
          <w:tcPr>
            <w:tcW w:w="3160" w:type="dxa"/>
            <w:tcBorders>
              <w:top w:val="single" w:sz="4" w:space="0" w:color="auto"/>
              <w:left w:val="single" w:sz="4" w:space="0" w:color="auto"/>
              <w:bottom w:val="single" w:sz="4" w:space="0" w:color="auto"/>
              <w:right w:val="single" w:sz="4" w:space="0" w:color="auto"/>
            </w:tcBorders>
            <w:shd w:val="clear" w:color="auto" w:fill="E6B8B7"/>
            <w:noWrap/>
            <w:vAlign w:val="bottom"/>
          </w:tcPr>
          <w:p w:rsidR="008C67D6" w:rsidRDefault="004533DF">
            <w:pPr>
              <w:spacing w:before="100" w:beforeAutospacing="1" w:after="0" w:line="273" w:lineRule="auto"/>
              <w:rPr>
                <w:rFonts w:ascii="Calibri" w:hAnsi="Calibri" w:cs="Calibri"/>
                <w:color w:val="000000"/>
              </w:rPr>
            </w:pPr>
            <w:r>
              <w:rPr>
                <w:rFonts w:cs="Calibri"/>
                <w:color w:val="000000"/>
              </w:rPr>
              <w:t>Final Score</w:t>
            </w:r>
          </w:p>
        </w:tc>
        <w:tc>
          <w:tcPr>
            <w:tcW w:w="2560" w:type="dxa"/>
            <w:gridSpan w:val="2"/>
            <w:tcBorders>
              <w:top w:val="single" w:sz="4" w:space="0" w:color="auto"/>
              <w:left w:val="single" w:sz="4" w:space="0" w:color="auto"/>
              <w:bottom w:val="single" w:sz="4" w:space="0" w:color="auto"/>
              <w:right w:val="single" w:sz="4" w:space="0" w:color="auto"/>
            </w:tcBorders>
            <w:shd w:val="clear" w:color="auto" w:fill="E6B8B7"/>
            <w:noWrap/>
            <w:vAlign w:val="bottom"/>
          </w:tcPr>
          <w:p w:rsidR="008C67D6" w:rsidRDefault="004533DF">
            <w:pPr>
              <w:spacing w:before="100" w:beforeAutospacing="1" w:after="0" w:line="273" w:lineRule="auto"/>
              <w:rPr>
                <w:rFonts w:ascii="Calibri" w:hAnsi="Calibri" w:cs="Calibri"/>
                <w:color w:val="000000"/>
              </w:rPr>
            </w:pPr>
            <w:r>
              <w:rPr>
                <w:rFonts w:cs="Calibri"/>
                <w:color w:val="000000"/>
                <w:highlight w:val="yellow"/>
              </w:rPr>
              <w:t>3/4 no significant difference</w:t>
            </w:r>
          </w:p>
        </w:tc>
      </w:tr>
    </w:tbl>
    <w:p w:rsidR="008C67D6" w:rsidRDefault="008C67D6">
      <w:pPr>
        <w:jc w:val="center"/>
        <w:rPr>
          <w:rFonts w:ascii="Calibri" w:hAnsi="Calibri"/>
        </w:rPr>
      </w:pPr>
    </w:p>
    <w:p w:rsidR="008C67D6" w:rsidRDefault="004533DF">
      <w:r>
        <w:t>It was observed that observers agreed on visibility of nerve canal in 75% of all cases. Disagreement on visibility was observed only in Region B.</w:t>
      </w:r>
    </w:p>
    <w:p w:rsidR="008C67D6" w:rsidRDefault="008C67D6"/>
    <w:p w:rsidR="008C67D6" w:rsidRDefault="008C67D6">
      <w:pPr>
        <w:jc w:val="center"/>
        <w:rPr>
          <w:b/>
          <w:sz w:val="24"/>
          <w:szCs w:val="24"/>
          <w:u w:val="single"/>
        </w:rPr>
      </w:pPr>
    </w:p>
    <w:p w:rsidR="008C67D6" w:rsidRDefault="004533DF">
      <w:pPr>
        <w:jc w:val="center"/>
        <w:rPr>
          <w:b/>
          <w:sz w:val="24"/>
          <w:szCs w:val="24"/>
          <w:u w:val="single"/>
        </w:rPr>
      </w:pPr>
      <w:r>
        <w:rPr>
          <w:b/>
          <w:sz w:val="24"/>
          <w:szCs w:val="24"/>
          <w:u w:val="single"/>
        </w:rPr>
        <w:t>CBCT</w:t>
      </w:r>
    </w:p>
    <w:tbl>
      <w:tblPr>
        <w:tblW w:w="7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0"/>
        <w:gridCol w:w="2780"/>
        <w:gridCol w:w="1540"/>
      </w:tblGrid>
      <w:tr w:rsidR="008C67D6">
        <w:trPr>
          <w:trHeight w:val="300"/>
          <w:jc w:val="center"/>
        </w:trPr>
        <w:tc>
          <w:tcPr>
            <w:tcW w:w="2980" w:type="dxa"/>
            <w:tcBorders>
              <w:top w:val="single" w:sz="4" w:space="0" w:color="auto"/>
              <w:left w:val="single" w:sz="4" w:space="0" w:color="auto"/>
              <w:bottom w:val="single" w:sz="4" w:space="0" w:color="auto"/>
              <w:right w:val="single" w:sz="4" w:space="0" w:color="auto"/>
            </w:tcBorders>
            <w:shd w:val="clear" w:color="auto" w:fill="E6B8B7"/>
            <w:noWrap/>
            <w:vAlign w:val="bottom"/>
          </w:tcPr>
          <w:p w:rsidR="008C67D6" w:rsidRDefault="004533DF">
            <w:pPr>
              <w:spacing w:before="100" w:beforeAutospacing="1" w:after="0" w:line="273" w:lineRule="auto"/>
              <w:jc w:val="center"/>
              <w:rPr>
                <w:rFonts w:ascii="Calibri" w:hAnsi="Calibri" w:cs="Calibri"/>
                <w:color w:val="000000"/>
              </w:rPr>
            </w:pPr>
            <w:r>
              <w:rPr>
                <w:rFonts w:cs="Calibri"/>
                <w:color w:val="000000"/>
              </w:rPr>
              <w:t>Mc.Nemar agreement analysis</w:t>
            </w:r>
          </w:p>
        </w:tc>
        <w:tc>
          <w:tcPr>
            <w:tcW w:w="2780" w:type="dxa"/>
            <w:tcBorders>
              <w:top w:val="single" w:sz="4" w:space="0" w:color="auto"/>
              <w:left w:val="single" w:sz="4" w:space="0" w:color="auto"/>
              <w:bottom w:val="single" w:sz="4" w:space="0" w:color="auto"/>
              <w:right w:val="single" w:sz="4" w:space="0" w:color="auto"/>
            </w:tcBorders>
            <w:shd w:val="clear" w:color="auto" w:fill="E6B8B7"/>
            <w:noWrap/>
            <w:vAlign w:val="bottom"/>
          </w:tcPr>
          <w:p w:rsidR="008C67D6" w:rsidRDefault="008C67D6">
            <w:pPr>
              <w:spacing w:before="100" w:beforeAutospacing="1" w:after="0" w:line="273" w:lineRule="auto"/>
              <w:jc w:val="center"/>
              <w:rPr>
                <w:rFonts w:ascii="Calibri" w:hAnsi="Calibri" w:cs="Calibri"/>
                <w:color w:val="000000"/>
              </w:rPr>
            </w:pPr>
          </w:p>
        </w:tc>
        <w:tc>
          <w:tcPr>
            <w:tcW w:w="1540" w:type="dxa"/>
            <w:tcBorders>
              <w:top w:val="single" w:sz="4" w:space="0" w:color="auto"/>
              <w:left w:val="single" w:sz="4" w:space="0" w:color="auto"/>
              <w:bottom w:val="single" w:sz="4" w:space="0" w:color="auto"/>
              <w:right w:val="single" w:sz="4" w:space="0" w:color="auto"/>
            </w:tcBorders>
            <w:shd w:val="clear" w:color="auto" w:fill="E6B8B7"/>
            <w:noWrap/>
            <w:vAlign w:val="bottom"/>
          </w:tcPr>
          <w:p w:rsidR="008C67D6" w:rsidRDefault="008C67D6">
            <w:pPr>
              <w:spacing w:before="100" w:beforeAutospacing="1" w:after="0" w:line="273" w:lineRule="auto"/>
              <w:jc w:val="center"/>
              <w:rPr>
                <w:rFonts w:ascii="Calibri" w:hAnsi="Calibri" w:cs="Calibri"/>
                <w:color w:val="000000"/>
              </w:rPr>
            </w:pPr>
          </w:p>
        </w:tc>
      </w:tr>
      <w:tr w:rsidR="008C67D6">
        <w:trPr>
          <w:trHeight w:val="300"/>
          <w:jc w:val="center"/>
        </w:trPr>
        <w:tc>
          <w:tcPr>
            <w:tcW w:w="2980" w:type="dxa"/>
            <w:tcBorders>
              <w:top w:val="single" w:sz="4" w:space="0" w:color="auto"/>
              <w:left w:val="single" w:sz="4" w:space="0" w:color="auto"/>
              <w:bottom w:val="single" w:sz="4" w:space="0" w:color="auto"/>
              <w:right w:val="single" w:sz="4" w:space="0" w:color="auto"/>
            </w:tcBorders>
            <w:shd w:val="clear" w:color="auto" w:fill="E6B8B7"/>
            <w:noWrap/>
            <w:vAlign w:val="bottom"/>
          </w:tcPr>
          <w:p w:rsidR="008C67D6" w:rsidRDefault="004533DF">
            <w:pPr>
              <w:spacing w:before="100" w:beforeAutospacing="1" w:after="0" w:line="273" w:lineRule="auto"/>
              <w:jc w:val="center"/>
              <w:rPr>
                <w:rFonts w:ascii="Calibri" w:hAnsi="Calibri" w:cs="Calibri"/>
                <w:color w:val="000000"/>
              </w:rPr>
            </w:pPr>
            <w:r>
              <w:rPr>
                <w:rFonts w:cs="Calibri"/>
                <w:color w:val="000000"/>
              </w:rPr>
              <w:t>Region</w:t>
            </w:r>
          </w:p>
        </w:tc>
        <w:tc>
          <w:tcPr>
            <w:tcW w:w="2780" w:type="dxa"/>
            <w:tcBorders>
              <w:top w:val="single" w:sz="4" w:space="0" w:color="auto"/>
              <w:left w:val="single" w:sz="4" w:space="0" w:color="auto"/>
              <w:bottom w:val="single" w:sz="4" w:space="0" w:color="auto"/>
              <w:right w:val="single" w:sz="4" w:space="0" w:color="auto"/>
            </w:tcBorders>
            <w:shd w:val="clear" w:color="auto" w:fill="E6B8B7"/>
            <w:noWrap/>
            <w:vAlign w:val="bottom"/>
          </w:tcPr>
          <w:p w:rsidR="008C67D6" w:rsidRDefault="004533DF">
            <w:pPr>
              <w:spacing w:before="100" w:beforeAutospacing="1" w:after="0" w:line="273" w:lineRule="auto"/>
              <w:jc w:val="center"/>
              <w:rPr>
                <w:rFonts w:ascii="Calibri" w:hAnsi="Calibri" w:cs="Calibri"/>
                <w:color w:val="000000"/>
              </w:rPr>
            </w:pPr>
            <w:r>
              <w:rPr>
                <w:rFonts w:cs="Calibri"/>
                <w:color w:val="000000"/>
              </w:rPr>
              <w:t>P Value</w:t>
            </w:r>
          </w:p>
        </w:tc>
        <w:tc>
          <w:tcPr>
            <w:tcW w:w="1540" w:type="dxa"/>
            <w:tcBorders>
              <w:top w:val="single" w:sz="4" w:space="0" w:color="auto"/>
              <w:left w:val="single" w:sz="4" w:space="0" w:color="auto"/>
              <w:bottom w:val="single" w:sz="4" w:space="0" w:color="auto"/>
              <w:right w:val="single" w:sz="4" w:space="0" w:color="auto"/>
            </w:tcBorders>
            <w:shd w:val="clear" w:color="auto" w:fill="E6B8B7"/>
            <w:noWrap/>
            <w:vAlign w:val="bottom"/>
          </w:tcPr>
          <w:p w:rsidR="008C67D6" w:rsidRDefault="004533DF">
            <w:pPr>
              <w:spacing w:before="100" w:beforeAutospacing="1" w:after="0" w:line="273" w:lineRule="auto"/>
              <w:jc w:val="center"/>
              <w:rPr>
                <w:rFonts w:ascii="Calibri" w:hAnsi="Calibri" w:cs="Calibri"/>
                <w:color w:val="000000"/>
              </w:rPr>
            </w:pPr>
            <w:r>
              <w:rPr>
                <w:rFonts w:cs="Calibri"/>
                <w:color w:val="000000"/>
              </w:rPr>
              <w:t>Significance</w:t>
            </w:r>
          </w:p>
        </w:tc>
      </w:tr>
      <w:tr w:rsidR="008C67D6">
        <w:trPr>
          <w:trHeight w:val="315"/>
          <w:jc w:val="center"/>
        </w:trPr>
        <w:tc>
          <w:tcPr>
            <w:tcW w:w="2980" w:type="dxa"/>
            <w:tcBorders>
              <w:top w:val="single" w:sz="4" w:space="0" w:color="auto"/>
              <w:left w:val="single" w:sz="4" w:space="0" w:color="auto"/>
              <w:bottom w:val="single" w:sz="4" w:space="0" w:color="auto"/>
              <w:right w:val="single" w:sz="4" w:space="0" w:color="auto"/>
            </w:tcBorders>
            <w:shd w:val="clear" w:color="auto" w:fill="E6B8B7"/>
            <w:noWrap/>
            <w:vAlign w:val="bottom"/>
          </w:tcPr>
          <w:p w:rsidR="008C67D6" w:rsidRDefault="004533DF">
            <w:pPr>
              <w:spacing w:before="100" w:beforeAutospacing="1" w:after="0" w:line="273" w:lineRule="auto"/>
              <w:jc w:val="center"/>
              <w:rPr>
                <w:rFonts w:ascii="Calibri" w:hAnsi="Calibri" w:cs="Calibri"/>
                <w:color w:val="000000"/>
              </w:rPr>
            </w:pPr>
            <w:r>
              <w:rPr>
                <w:rFonts w:cs="Calibri"/>
                <w:color w:val="000000"/>
              </w:rPr>
              <w:t>Region A</w:t>
            </w:r>
          </w:p>
        </w:tc>
        <w:tc>
          <w:tcPr>
            <w:tcW w:w="2780" w:type="dxa"/>
            <w:tcBorders>
              <w:top w:val="single" w:sz="4" w:space="0" w:color="auto"/>
              <w:left w:val="single" w:sz="4" w:space="0" w:color="auto"/>
              <w:bottom w:val="single" w:sz="4" w:space="0" w:color="auto"/>
              <w:right w:val="single" w:sz="4" w:space="0" w:color="auto"/>
            </w:tcBorders>
            <w:shd w:val="clear" w:color="auto" w:fill="E6B8B7"/>
            <w:noWrap/>
            <w:vAlign w:val="bottom"/>
          </w:tcPr>
          <w:p w:rsidR="008C67D6" w:rsidRDefault="004533DF">
            <w:pPr>
              <w:spacing w:before="100" w:beforeAutospacing="1" w:after="0" w:line="273" w:lineRule="auto"/>
              <w:jc w:val="center"/>
              <w:rPr>
                <w:rFonts w:ascii="Calibri" w:hAnsi="Calibri" w:cs="Calibri"/>
                <w:color w:val="000000"/>
              </w:rPr>
            </w:pPr>
            <w:r>
              <w:rPr>
                <w:rFonts w:cs="Calibri"/>
                <w:color w:val="000000"/>
              </w:rPr>
              <w:t>0.0771</w:t>
            </w:r>
          </w:p>
        </w:tc>
        <w:tc>
          <w:tcPr>
            <w:tcW w:w="1540" w:type="dxa"/>
            <w:tcBorders>
              <w:top w:val="single" w:sz="4" w:space="0" w:color="auto"/>
              <w:left w:val="single" w:sz="4" w:space="0" w:color="auto"/>
              <w:bottom w:val="single" w:sz="4" w:space="0" w:color="auto"/>
              <w:right w:val="single" w:sz="4" w:space="0" w:color="auto"/>
            </w:tcBorders>
            <w:shd w:val="clear" w:color="auto" w:fill="00B050"/>
            <w:noWrap/>
            <w:vAlign w:val="bottom"/>
          </w:tcPr>
          <w:p w:rsidR="008C67D6" w:rsidRDefault="004533DF">
            <w:pPr>
              <w:spacing w:before="100" w:beforeAutospacing="1" w:after="0" w:line="273" w:lineRule="auto"/>
              <w:jc w:val="center"/>
              <w:rPr>
                <w:rFonts w:ascii="Calibri" w:hAnsi="Calibri" w:cs="Calibri"/>
                <w:color w:val="000000"/>
              </w:rPr>
            </w:pPr>
            <w:r>
              <w:rPr>
                <w:rFonts w:cs="Calibri"/>
                <w:color w:val="000000"/>
              </w:rPr>
              <w:t>Not Significant</w:t>
            </w:r>
          </w:p>
        </w:tc>
      </w:tr>
      <w:tr w:rsidR="008C67D6">
        <w:trPr>
          <w:trHeight w:val="315"/>
          <w:jc w:val="center"/>
        </w:trPr>
        <w:tc>
          <w:tcPr>
            <w:tcW w:w="2980" w:type="dxa"/>
            <w:tcBorders>
              <w:top w:val="single" w:sz="4" w:space="0" w:color="auto"/>
              <w:left w:val="single" w:sz="4" w:space="0" w:color="auto"/>
              <w:bottom w:val="single" w:sz="4" w:space="0" w:color="auto"/>
              <w:right w:val="single" w:sz="4" w:space="0" w:color="auto"/>
            </w:tcBorders>
            <w:shd w:val="clear" w:color="auto" w:fill="E6B8B7"/>
            <w:noWrap/>
            <w:vAlign w:val="bottom"/>
          </w:tcPr>
          <w:p w:rsidR="008C67D6" w:rsidRDefault="004533DF">
            <w:pPr>
              <w:spacing w:before="100" w:beforeAutospacing="1" w:after="0" w:line="273" w:lineRule="auto"/>
              <w:jc w:val="center"/>
              <w:rPr>
                <w:rFonts w:ascii="Calibri" w:hAnsi="Calibri" w:cs="Calibri"/>
                <w:color w:val="000000"/>
              </w:rPr>
            </w:pPr>
            <w:r>
              <w:rPr>
                <w:rFonts w:cs="Calibri"/>
                <w:color w:val="000000"/>
              </w:rPr>
              <w:t>Region B</w:t>
            </w:r>
          </w:p>
        </w:tc>
        <w:tc>
          <w:tcPr>
            <w:tcW w:w="2780" w:type="dxa"/>
            <w:tcBorders>
              <w:top w:val="single" w:sz="4" w:space="0" w:color="auto"/>
              <w:left w:val="single" w:sz="4" w:space="0" w:color="auto"/>
              <w:bottom w:val="single" w:sz="4" w:space="0" w:color="auto"/>
              <w:right w:val="single" w:sz="4" w:space="0" w:color="auto"/>
            </w:tcBorders>
            <w:shd w:val="clear" w:color="auto" w:fill="E6B8B7"/>
            <w:noWrap/>
            <w:vAlign w:val="bottom"/>
          </w:tcPr>
          <w:p w:rsidR="008C67D6" w:rsidRDefault="004533DF">
            <w:pPr>
              <w:spacing w:before="100" w:beforeAutospacing="1" w:after="0" w:line="273" w:lineRule="auto"/>
              <w:jc w:val="center"/>
              <w:rPr>
                <w:rFonts w:ascii="Calibri" w:hAnsi="Calibri" w:cs="Calibri"/>
                <w:color w:val="000000"/>
              </w:rPr>
            </w:pPr>
            <w:r>
              <w:rPr>
                <w:rFonts w:cs="Calibri"/>
                <w:color w:val="000000"/>
              </w:rPr>
              <w:t>1.0000</w:t>
            </w:r>
          </w:p>
        </w:tc>
        <w:tc>
          <w:tcPr>
            <w:tcW w:w="1540" w:type="dxa"/>
            <w:tcBorders>
              <w:top w:val="single" w:sz="4" w:space="0" w:color="auto"/>
              <w:left w:val="single" w:sz="4" w:space="0" w:color="auto"/>
              <w:bottom w:val="single" w:sz="4" w:space="0" w:color="auto"/>
              <w:right w:val="single" w:sz="4" w:space="0" w:color="auto"/>
            </w:tcBorders>
            <w:shd w:val="clear" w:color="auto" w:fill="00B050"/>
            <w:noWrap/>
            <w:vAlign w:val="bottom"/>
          </w:tcPr>
          <w:p w:rsidR="008C67D6" w:rsidRDefault="004533DF">
            <w:pPr>
              <w:spacing w:before="100" w:beforeAutospacing="1" w:after="0" w:line="273" w:lineRule="auto"/>
              <w:jc w:val="center"/>
              <w:rPr>
                <w:rFonts w:ascii="Calibri" w:hAnsi="Calibri" w:cs="Calibri"/>
                <w:color w:val="000000"/>
              </w:rPr>
            </w:pPr>
            <w:r>
              <w:rPr>
                <w:rFonts w:cs="Calibri"/>
                <w:color w:val="000000"/>
              </w:rPr>
              <w:t>Not Significant</w:t>
            </w:r>
          </w:p>
        </w:tc>
      </w:tr>
      <w:tr w:rsidR="008C67D6">
        <w:trPr>
          <w:trHeight w:val="315"/>
          <w:jc w:val="center"/>
        </w:trPr>
        <w:tc>
          <w:tcPr>
            <w:tcW w:w="2980" w:type="dxa"/>
            <w:tcBorders>
              <w:top w:val="single" w:sz="4" w:space="0" w:color="auto"/>
              <w:left w:val="single" w:sz="4" w:space="0" w:color="auto"/>
              <w:bottom w:val="single" w:sz="4" w:space="0" w:color="auto"/>
              <w:right w:val="single" w:sz="4" w:space="0" w:color="auto"/>
            </w:tcBorders>
            <w:shd w:val="clear" w:color="auto" w:fill="E6B8B7"/>
            <w:noWrap/>
            <w:vAlign w:val="bottom"/>
          </w:tcPr>
          <w:p w:rsidR="008C67D6" w:rsidRDefault="004533DF">
            <w:pPr>
              <w:spacing w:before="100" w:beforeAutospacing="1" w:after="0" w:line="273" w:lineRule="auto"/>
              <w:jc w:val="center"/>
              <w:rPr>
                <w:rFonts w:ascii="Calibri" w:hAnsi="Calibri" w:cs="Calibri"/>
                <w:color w:val="000000"/>
              </w:rPr>
            </w:pPr>
            <w:r>
              <w:rPr>
                <w:rFonts w:cs="Calibri"/>
                <w:color w:val="000000"/>
              </w:rPr>
              <w:t>Region C</w:t>
            </w:r>
          </w:p>
        </w:tc>
        <w:tc>
          <w:tcPr>
            <w:tcW w:w="2780" w:type="dxa"/>
            <w:tcBorders>
              <w:top w:val="single" w:sz="4" w:space="0" w:color="auto"/>
              <w:left w:val="single" w:sz="4" w:space="0" w:color="auto"/>
              <w:bottom w:val="single" w:sz="4" w:space="0" w:color="auto"/>
              <w:right w:val="single" w:sz="4" w:space="0" w:color="auto"/>
            </w:tcBorders>
            <w:shd w:val="clear" w:color="auto" w:fill="E6B8B7"/>
            <w:noWrap/>
            <w:vAlign w:val="bottom"/>
          </w:tcPr>
          <w:p w:rsidR="008C67D6" w:rsidRDefault="004533DF">
            <w:pPr>
              <w:spacing w:before="100" w:beforeAutospacing="1" w:after="0" w:line="273" w:lineRule="auto"/>
              <w:jc w:val="center"/>
              <w:rPr>
                <w:rFonts w:ascii="Calibri" w:hAnsi="Calibri" w:cs="Calibri"/>
                <w:color w:val="000000"/>
              </w:rPr>
            </w:pPr>
            <w:r>
              <w:rPr>
                <w:rFonts w:cs="Calibri"/>
                <w:color w:val="000000"/>
              </w:rPr>
              <w:t>0.6171</w:t>
            </w:r>
          </w:p>
        </w:tc>
        <w:tc>
          <w:tcPr>
            <w:tcW w:w="1540" w:type="dxa"/>
            <w:tcBorders>
              <w:top w:val="single" w:sz="4" w:space="0" w:color="auto"/>
              <w:left w:val="single" w:sz="4" w:space="0" w:color="auto"/>
              <w:bottom w:val="single" w:sz="4" w:space="0" w:color="auto"/>
              <w:right w:val="single" w:sz="4" w:space="0" w:color="auto"/>
            </w:tcBorders>
            <w:shd w:val="clear" w:color="auto" w:fill="00B050"/>
            <w:noWrap/>
            <w:vAlign w:val="bottom"/>
          </w:tcPr>
          <w:p w:rsidR="008C67D6" w:rsidRDefault="004533DF">
            <w:pPr>
              <w:spacing w:before="100" w:beforeAutospacing="1" w:after="0" w:line="273" w:lineRule="auto"/>
              <w:jc w:val="center"/>
              <w:rPr>
                <w:rFonts w:ascii="Calibri" w:hAnsi="Calibri" w:cs="Calibri"/>
                <w:color w:val="000000"/>
              </w:rPr>
            </w:pPr>
            <w:r>
              <w:rPr>
                <w:rFonts w:cs="Calibri"/>
                <w:color w:val="000000"/>
              </w:rPr>
              <w:t>Not Significant</w:t>
            </w:r>
          </w:p>
        </w:tc>
      </w:tr>
      <w:tr w:rsidR="008C67D6">
        <w:trPr>
          <w:trHeight w:val="315"/>
          <w:jc w:val="center"/>
        </w:trPr>
        <w:tc>
          <w:tcPr>
            <w:tcW w:w="2980" w:type="dxa"/>
            <w:tcBorders>
              <w:top w:val="single" w:sz="4" w:space="0" w:color="auto"/>
              <w:left w:val="single" w:sz="4" w:space="0" w:color="auto"/>
              <w:bottom w:val="single" w:sz="4" w:space="0" w:color="auto"/>
              <w:right w:val="single" w:sz="4" w:space="0" w:color="auto"/>
            </w:tcBorders>
            <w:shd w:val="clear" w:color="auto" w:fill="E6B8B7"/>
            <w:noWrap/>
            <w:vAlign w:val="bottom"/>
          </w:tcPr>
          <w:p w:rsidR="008C67D6" w:rsidRDefault="004533DF">
            <w:pPr>
              <w:spacing w:before="100" w:beforeAutospacing="1" w:after="0" w:line="273" w:lineRule="auto"/>
              <w:jc w:val="center"/>
              <w:rPr>
                <w:rFonts w:ascii="Calibri" w:hAnsi="Calibri" w:cs="Calibri"/>
                <w:color w:val="000000"/>
              </w:rPr>
            </w:pPr>
            <w:r>
              <w:rPr>
                <w:rFonts w:cs="Calibri"/>
                <w:color w:val="000000"/>
              </w:rPr>
              <w:t>Region D</w:t>
            </w:r>
          </w:p>
        </w:tc>
        <w:tc>
          <w:tcPr>
            <w:tcW w:w="2780" w:type="dxa"/>
            <w:tcBorders>
              <w:top w:val="single" w:sz="4" w:space="0" w:color="auto"/>
              <w:left w:val="single" w:sz="4" w:space="0" w:color="auto"/>
              <w:bottom w:val="single" w:sz="4" w:space="0" w:color="auto"/>
              <w:right w:val="single" w:sz="4" w:space="0" w:color="auto"/>
            </w:tcBorders>
            <w:shd w:val="clear" w:color="auto" w:fill="E6B8B7"/>
            <w:noWrap/>
            <w:vAlign w:val="bottom"/>
          </w:tcPr>
          <w:p w:rsidR="008C67D6" w:rsidRDefault="004533DF">
            <w:pPr>
              <w:spacing w:before="100" w:beforeAutospacing="1" w:after="0" w:line="273" w:lineRule="auto"/>
              <w:jc w:val="center"/>
              <w:rPr>
                <w:rFonts w:ascii="Calibri" w:hAnsi="Calibri" w:cs="Calibri"/>
                <w:color w:val="000000"/>
              </w:rPr>
            </w:pPr>
            <w:r>
              <w:rPr>
                <w:rFonts w:cs="Calibri"/>
                <w:color w:val="000000"/>
              </w:rPr>
              <w:t>0.0412</w:t>
            </w:r>
          </w:p>
        </w:tc>
        <w:tc>
          <w:tcPr>
            <w:tcW w:w="1540" w:type="dxa"/>
            <w:tcBorders>
              <w:top w:val="single" w:sz="4" w:space="0" w:color="auto"/>
              <w:left w:val="single" w:sz="4" w:space="0" w:color="auto"/>
              <w:bottom w:val="single" w:sz="4" w:space="0" w:color="auto"/>
              <w:right w:val="single" w:sz="4" w:space="0" w:color="auto"/>
            </w:tcBorders>
            <w:shd w:val="clear" w:color="auto" w:fill="FF0000"/>
            <w:noWrap/>
            <w:vAlign w:val="bottom"/>
          </w:tcPr>
          <w:p w:rsidR="008C67D6" w:rsidRDefault="004533DF">
            <w:pPr>
              <w:spacing w:before="100" w:beforeAutospacing="1" w:after="0" w:line="273" w:lineRule="auto"/>
              <w:jc w:val="center"/>
              <w:rPr>
                <w:rFonts w:ascii="Calibri" w:hAnsi="Calibri" w:cs="Calibri"/>
                <w:color w:val="000000"/>
              </w:rPr>
            </w:pPr>
            <w:r>
              <w:rPr>
                <w:rFonts w:cs="Calibri"/>
                <w:color w:val="000000"/>
              </w:rPr>
              <w:t>Significant</w:t>
            </w:r>
          </w:p>
        </w:tc>
      </w:tr>
      <w:tr w:rsidR="008C67D6">
        <w:trPr>
          <w:trHeight w:val="300"/>
          <w:jc w:val="center"/>
        </w:trPr>
        <w:tc>
          <w:tcPr>
            <w:tcW w:w="2980" w:type="dxa"/>
            <w:tcBorders>
              <w:top w:val="single" w:sz="4" w:space="0" w:color="auto"/>
              <w:left w:val="single" w:sz="4" w:space="0" w:color="auto"/>
              <w:bottom w:val="single" w:sz="4" w:space="0" w:color="auto"/>
              <w:right w:val="single" w:sz="4" w:space="0" w:color="auto"/>
            </w:tcBorders>
            <w:shd w:val="clear" w:color="auto" w:fill="E6B8B7"/>
            <w:noWrap/>
            <w:vAlign w:val="bottom"/>
          </w:tcPr>
          <w:p w:rsidR="008C67D6" w:rsidRDefault="004533DF">
            <w:pPr>
              <w:spacing w:before="100" w:beforeAutospacing="1" w:after="0" w:line="273" w:lineRule="auto"/>
              <w:jc w:val="center"/>
              <w:rPr>
                <w:rFonts w:ascii="Calibri" w:hAnsi="Calibri" w:cs="Calibri"/>
                <w:color w:val="000000"/>
              </w:rPr>
            </w:pPr>
            <w:r>
              <w:rPr>
                <w:rFonts w:cs="Calibri"/>
                <w:color w:val="000000"/>
              </w:rPr>
              <w:t>Final Score</w:t>
            </w:r>
          </w:p>
        </w:tc>
        <w:tc>
          <w:tcPr>
            <w:tcW w:w="2780" w:type="dxa"/>
            <w:tcBorders>
              <w:top w:val="single" w:sz="4" w:space="0" w:color="auto"/>
              <w:left w:val="single" w:sz="4" w:space="0" w:color="auto"/>
              <w:bottom w:val="single" w:sz="4" w:space="0" w:color="auto"/>
              <w:right w:val="single" w:sz="4" w:space="0" w:color="auto"/>
            </w:tcBorders>
            <w:shd w:val="clear" w:color="auto" w:fill="E6B8B7"/>
            <w:noWrap/>
            <w:vAlign w:val="bottom"/>
          </w:tcPr>
          <w:p w:rsidR="008C67D6" w:rsidRDefault="004533DF">
            <w:pPr>
              <w:spacing w:before="100" w:beforeAutospacing="1" w:after="0" w:line="273" w:lineRule="auto"/>
              <w:jc w:val="center"/>
              <w:rPr>
                <w:rFonts w:ascii="Calibri" w:hAnsi="Calibri" w:cs="Calibri"/>
                <w:color w:val="000000"/>
                <w:highlight w:val="yellow"/>
              </w:rPr>
            </w:pPr>
            <w:r>
              <w:rPr>
                <w:rFonts w:cs="Calibri"/>
                <w:color w:val="000000"/>
                <w:highlight w:val="yellow"/>
              </w:rPr>
              <w:t>3/4 no significant difference</w:t>
            </w:r>
          </w:p>
        </w:tc>
        <w:tc>
          <w:tcPr>
            <w:tcW w:w="1540" w:type="dxa"/>
            <w:tcBorders>
              <w:top w:val="single" w:sz="4" w:space="0" w:color="auto"/>
              <w:left w:val="single" w:sz="4" w:space="0" w:color="auto"/>
              <w:bottom w:val="single" w:sz="4" w:space="0" w:color="auto"/>
              <w:right w:val="single" w:sz="4" w:space="0" w:color="auto"/>
            </w:tcBorders>
            <w:shd w:val="clear" w:color="auto" w:fill="E6B8B7"/>
            <w:noWrap/>
            <w:vAlign w:val="bottom"/>
          </w:tcPr>
          <w:p w:rsidR="008C67D6" w:rsidRDefault="008C67D6">
            <w:pPr>
              <w:spacing w:before="100" w:beforeAutospacing="1" w:after="0" w:line="273" w:lineRule="auto"/>
              <w:jc w:val="center"/>
              <w:rPr>
                <w:rFonts w:ascii="Calibri" w:hAnsi="Calibri" w:cs="Calibri"/>
                <w:color w:val="000000"/>
              </w:rPr>
            </w:pPr>
          </w:p>
        </w:tc>
      </w:tr>
    </w:tbl>
    <w:p w:rsidR="00156363" w:rsidRDefault="00156363" w:rsidP="00156363"/>
    <w:p w:rsidR="00156363" w:rsidRDefault="004533DF" w:rsidP="00156363">
      <w:pPr>
        <w:rPr>
          <w:rFonts w:cs="Times New Roman"/>
        </w:rPr>
      </w:pPr>
      <w:r>
        <w:t>It was observed that observers agreed on visibility of nerve canal in 75% of all cases. Disagreement on visibility was observed only in Region D.</w:t>
      </w:r>
    </w:p>
    <w:p w:rsidR="00156363" w:rsidRDefault="00156363" w:rsidP="00156363">
      <w:pPr>
        <w:rPr>
          <w:rFonts w:ascii="Times New Roman" w:eastAsia="Times New Roman" w:hAnsi="Times New Roman" w:cs="Times New Roman"/>
          <w:b/>
          <w:color w:val="231F20"/>
          <w:sz w:val="24"/>
          <w:szCs w:val="24"/>
        </w:rPr>
      </w:pPr>
    </w:p>
    <w:p w:rsidR="00156363" w:rsidRDefault="00156363" w:rsidP="00156363">
      <w:pPr>
        <w:rPr>
          <w:rFonts w:ascii="Times New Roman" w:eastAsia="Times New Roman" w:hAnsi="Times New Roman" w:cs="Times New Roman"/>
          <w:b/>
          <w:color w:val="231F20"/>
          <w:sz w:val="24"/>
          <w:szCs w:val="24"/>
        </w:rPr>
      </w:pPr>
    </w:p>
    <w:p w:rsidR="00156363" w:rsidRDefault="00156363" w:rsidP="00156363">
      <w:pPr>
        <w:rPr>
          <w:rFonts w:ascii="Times New Roman" w:eastAsia="Times New Roman" w:hAnsi="Times New Roman" w:cs="Times New Roman"/>
          <w:b/>
          <w:color w:val="231F20"/>
          <w:sz w:val="24"/>
          <w:szCs w:val="24"/>
        </w:rPr>
      </w:pPr>
    </w:p>
    <w:p w:rsidR="008C67D6" w:rsidRPr="00156363" w:rsidRDefault="00F539BB" w:rsidP="00156363">
      <w:pPr>
        <w:rPr>
          <w:rFonts w:cs="Times New Roman"/>
        </w:rPr>
      </w:pPr>
      <w:r w:rsidRPr="00F539BB">
        <w:rPr>
          <w:rFonts w:ascii="Times New Roman" w:eastAsia="Times New Roman" w:hAnsi="Times New Roman" w:cs="Times New Roman"/>
          <w:b/>
          <w:color w:val="231F20"/>
          <w:sz w:val="24"/>
          <w:szCs w:val="24"/>
        </w:rPr>
        <w:t xml:space="preserve">Conclusion </w:t>
      </w:r>
    </w:p>
    <w:p w:rsidR="008C67D6" w:rsidRPr="00DC46B8" w:rsidRDefault="00F539BB" w:rsidP="00DC46B8">
      <w:pPr>
        <w:rPr>
          <w:rFonts w:ascii="Times New Roman" w:eastAsia="Times New Roman" w:hAnsi="Times New Roman" w:cs="Times New Roman"/>
          <w:sz w:val="24"/>
          <w:szCs w:val="24"/>
        </w:rPr>
      </w:pPr>
      <w:r w:rsidRPr="00F539BB">
        <w:rPr>
          <w:rFonts w:ascii="Times New Roman" w:eastAsia="Times New Roman" w:hAnsi="Times New Roman" w:cs="Times New Roman"/>
          <w:color w:val="231F20"/>
          <w:sz w:val="24"/>
          <w:szCs w:val="24"/>
        </w:rPr>
        <w:t>The results showed a significant difference between the two imaging techniques with more clearance and visibility of the MC in  CBCT.</w:t>
      </w:r>
      <w:r w:rsidR="00DC46B8">
        <w:rPr>
          <w:rFonts w:ascii="Times New Roman" w:eastAsia="Times New Roman" w:hAnsi="Times New Roman" w:cs="Times New Roman"/>
          <w:color w:val="231F20"/>
          <w:sz w:val="24"/>
          <w:szCs w:val="24"/>
        </w:rPr>
        <w:t xml:space="preserve"> </w:t>
      </w:r>
      <w:r w:rsidR="00DC46B8" w:rsidRPr="00DC46B8">
        <w:rPr>
          <w:rFonts w:ascii="Times New Roman" w:eastAsia="Times New Roman" w:hAnsi="Times New Roman" w:cs="Times New Roman"/>
          <w:color w:val="000000"/>
          <w:sz w:val="24"/>
          <w:szCs w:val="24"/>
        </w:rPr>
        <w:t>Further, the visibility of the mandibular canal increased in more distal regions of the canal, and the canal was more visible on CBCT cross-sectional images than on panoramic radiographs.</w:t>
      </w:r>
    </w:p>
    <w:p w:rsidR="008C67D6" w:rsidRDefault="008C67D6">
      <w:pPr>
        <w:tabs>
          <w:tab w:val="left" w:pos="0"/>
          <w:tab w:val="left" w:pos="10440"/>
        </w:tabs>
        <w:autoSpaceDE w:val="0"/>
        <w:autoSpaceDN w:val="0"/>
        <w:adjustRightInd w:val="0"/>
        <w:spacing w:after="0" w:line="240" w:lineRule="auto"/>
        <w:ind w:right="-180"/>
        <w:jc w:val="both"/>
        <w:rPr>
          <w:rFonts w:ascii="Verdana" w:eastAsia="Times New Roman" w:hAnsi="Verdana" w:cs="Times New Roman"/>
          <w:color w:val="231F20"/>
          <w:sz w:val="18"/>
          <w:szCs w:val="18"/>
          <w:vertAlign w:val="superscript"/>
        </w:rPr>
      </w:pPr>
    </w:p>
    <w:p w:rsidR="008C67D6" w:rsidRDefault="008C67D6">
      <w:pPr>
        <w:tabs>
          <w:tab w:val="left" w:pos="0"/>
          <w:tab w:val="left" w:pos="10440"/>
        </w:tabs>
        <w:autoSpaceDE w:val="0"/>
        <w:autoSpaceDN w:val="0"/>
        <w:adjustRightInd w:val="0"/>
        <w:spacing w:after="0" w:line="240" w:lineRule="auto"/>
        <w:ind w:right="-180"/>
        <w:jc w:val="both"/>
        <w:rPr>
          <w:rFonts w:ascii="Verdana" w:eastAsia="Times New Roman" w:hAnsi="Verdana" w:cs="Times New Roman"/>
          <w:color w:val="231F20"/>
          <w:sz w:val="18"/>
          <w:szCs w:val="18"/>
          <w:vertAlign w:val="superscript"/>
        </w:rPr>
      </w:pPr>
    </w:p>
    <w:p w:rsidR="008C67D6" w:rsidRDefault="008C67D6">
      <w:pPr>
        <w:tabs>
          <w:tab w:val="left" w:pos="0"/>
          <w:tab w:val="left" w:pos="10440"/>
        </w:tabs>
        <w:autoSpaceDE w:val="0"/>
        <w:autoSpaceDN w:val="0"/>
        <w:adjustRightInd w:val="0"/>
        <w:spacing w:after="0" w:line="240" w:lineRule="auto"/>
        <w:ind w:right="-180"/>
        <w:jc w:val="both"/>
        <w:rPr>
          <w:rFonts w:ascii="Verdana" w:eastAsia="Times New Roman" w:hAnsi="Verdana" w:cs="Times New Roman"/>
          <w:color w:val="231F20"/>
          <w:sz w:val="18"/>
          <w:szCs w:val="18"/>
          <w:vertAlign w:val="superscript"/>
        </w:rPr>
      </w:pPr>
    </w:p>
    <w:p w:rsidR="008C67D6" w:rsidRDefault="008C67D6">
      <w:pPr>
        <w:tabs>
          <w:tab w:val="left" w:pos="0"/>
          <w:tab w:val="left" w:pos="10440"/>
        </w:tabs>
        <w:autoSpaceDE w:val="0"/>
        <w:autoSpaceDN w:val="0"/>
        <w:adjustRightInd w:val="0"/>
        <w:spacing w:after="0" w:line="240" w:lineRule="auto"/>
        <w:ind w:right="-180"/>
        <w:jc w:val="both"/>
        <w:rPr>
          <w:rFonts w:ascii="Verdana" w:eastAsia="Times New Roman" w:hAnsi="Verdana" w:cs="Times New Roman"/>
          <w:color w:val="231F20"/>
          <w:sz w:val="18"/>
          <w:szCs w:val="18"/>
          <w:vertAlign w:val="superscript"/>
        </w:rPr>
      </w:pPr>
    </w:p>
    <w:p w:rsidR="008C67D6" w:rsidRDefault="008C67D6">
      <w:pPr>
        <w:tabs>
          <w:tab w:val="left" w:pos="0"/>
          <w:tab w:val="left" w:pos="10440"/>
        </w:tabs>
        <w:autoSpaceDE w:val="0"/>
        <w:autoSpaceDN w:val="0"/>
        <w:adjustRightInd w:val="0"/>
        <w:spacing w:after="0" w:line="240" w:lineRule="auto"/>
        <w:ind w:right="-180"/>
        <w:jc w:val="both"/>
        <w:rPr>
          <w:rFonts w:ascii="Verdana" w:eastAsia="Times New Roman" w:hAnsi="Verdana" w:cs="Times New Roman"/>
          <w:color w:val="231F20"/>
          <w:sz w:val="18"/>
          <w:szCs w:val="18"/>
          <w:vertAlign w:val="superscript"/>
        </w:rPr>
      </w:pPr>
    </w:p>
    <w:p w:rsidR="008C67D6" w:rsidRDefault="008C67D6">
      <w:pPr>
        <w:tabs>
          <w:tab w:val="left" w:pos="0"/>
          <w:tab w:val="left" w:pos="10440"/>
        </w:tabs>
        <w:autoSpaceDE w:val="0"/>
        <w:autoSpaceDN w:val="0"/>
        <w:adjustRightInd w:val="0"/>
        <w:spacing w:after="0" w:line="240" w:lineRule="auto"/>
        <w:ind w:right="-180"/>
        <w:jc w:val="both"/>
        <w:rPr>
          <w:rFonts w:ascii="Verdana" w:eastAsia="Times New Roman" w:hAnsi="Verdana" w:cs="Times New Roman"/>
          <w:color w:val="231F20"/>
          <w:sz w:val="18"/>
          <w:szCs w:val="18"/>
          <w:vertAlign w:val="superscript"/>
        </w:rPr>
      </w:pPr>
    </w:p>
    <w:p w:rsidR="008C67D6" w:rsidRDefault="008C67D6">
      <w:pPr>
        <w:tabs>
          <w:tab w:val="left" w:pos="0"/>
          <w:tab w:val="left" w:pos="10440"/>
        </w:tabs>
        <w:autoSpaceDE w:val="0"/>
        <w:autoSpaceDN w:val="0"/>
        <w:adjustRightInd w:val="0"/>
        <w:spacing w:after="0" w:line="240" w:lineRule="auto"/>
        <w:ind w:right="-180"/>
        <w:jc w:val="both"/>
        <w:rPr>
          <w:rFonts w:ascii="Verdana" w:eastAsia="Times New Roman" w:hAnsi="Verdana" w:cs="Times New Roman"/>
          <w:color w:val="231F20"/>
          <w:sz w:val="18"/>
          <w:szCs w:val="18"/>
          <w:vertAlign w:val="superscript"/>
        </w:rPr>
      </w:pPr>
    </w:p>
    <w:p w:rsidR="008C67D6" w:rsidRDefault="008C67D6">
      <w:pPr>
        <w:tabs>
          <w:tab w:val="left" w:pos="0"/>
          <w:tab w:val="left" w:pos="10440"/>
        </w:tabs>
        <w:autoSpaceDE w:val="0"/>
        <w:autoSpaceDN w:val="0"/>
        <w:adjustRightInd w:val="0"/>
        <w:spacing w:after="0" w:line="240" w:lineRule="auto"/>
        <w:ind w:right="-180"/>
        <w:jc w:val="both"/>
        <w:rPr>
          <w:rFonts w:ascii="Verdana" w:eastAsia="Times New Roman" w:hAnsi="Verdana" w:cs="Times New Roman"/>
          <w:color w:val="231F20"/>
          <w:sz w:val="18"/>
          <w:szCs w:val="18"/>
          <w:vertAlign w:val="superscript"/>
        </w:rPr>
      </w:pPr>
    </w:p>
    <w:p w:rsidR="008C67D6" w:rsidRDefault="008C67D6">
      <w:pPr>
        <w:tabs>
          <w:tab w:val="left" w:pos="0"/>
          <w:tab w:val="left" w:pos="10440"/>
        </w:tabs>
        <w:autoSpaceDE w:val="0"/>
        <w:autoSpaceDN w:val="0"/>
        <w:adjustRightInd w:val="0"/>
        <w:spacing w:after="0" w:line="240" w:lineRule="auto"/>
        <w:ind w:right="-180"/>
        <w:jc w:val="both"/>
        <w:rPr>
          <w:rFonts w:ascii="Verdana" w:eastAsia="Times New Roman" w:hAnsi="Verdana" w:cs="Times New Roman"/>
          <w:color w:val="231F20"/>
          <w:sz w:val="18"/>
          <w:szCs w:val="18"/>
          <w:vertAlign w:val="superscript"/>
        </w:rPr>
      </w:pPr>
    </w:p>
    <w:p w:rsidR="008C67D6" w:rsidRDefault="008C67D6">
      <w:pPr>
        <w:tabs>
          <w:tab w:val="left" w:pos="0"/>
          <w:tab w:val="left" w:pos="10440"/>
        </w:tabs>
        <w:autoSpaceDE w:val="0"/>
        <w:autoSpaceDN w:val="0"/>
        <w:adjustRightInd w:val="0"/>
        <w:spacing w:after="0" w:line="240" w:lineRule="auto"/>
        <w:ind w:right="-180"/>
        <w:jc w:val="both"/>
        <w:rPr>
          <w:rFonts w:ascii="Verdana" w:eastAsia="Times New Roman" w:hAnsi="Verdana" w:cs="Times New Roman"/>
          <w:color w:val="231F20"/>
          <w:sz w:val="18"/>
          <w:szCs w:val="18"/>
          <w:vertAlign w:val="superscript"/>
        </w:rPr>
      </w:pPr>
    </w:p>
    <w:p w:rsidR="008C67D6" w:rsidRDefault="008C67D6">
      <w:pPr>
        <w:tabs>
          <w:tab w:val="left" w:pos="0"/>
          <w:tab w:val="left" w:pos="10440"/>
        </w:tabs>
        <w:autoSpaceDE w:val="0"/>
        <w:autoSpaceDN w:val="0"/>
        <w:adjustRightInd w:val="0"/>
        <w:spacing w:after="0" w:line="240" w:lineRule="auto"/>
        <w:ind w:right="-180"/>
        <w:jc w:val="both"/>
        <w:rPr>
          <w:rFonts w:ascii="Verdana" w:eastAsia="Times New Roman" w:hAnsi="Verdana" w:cs="Times New Roman"/>
          <w:color w:val="231F20"/>
          <w:sz w:val="18"/>
          <w:szCs w:val="18"/>
          <w:vertAlign w:val="superscript"/>
        </w:rPr>
      </w:pPr>
    </w:p>
    <w:p w:rsidR="008C67D6" w:rsidRDefault="008C67D6">
      <w:pPr>
        <w:tabs>
          <w:tab w:val="left" w:pos="0"/>
          <w:tab w:val="left" w:pos="10440"/>
        </w:tabs>
        <w:autoSpaceDE w:val="0"/>
        <w:autoSpaceDN w:val="0"/>
        <w:adjustRightInd w:val="0"/>
        <w:spacing w:after="0" w:line="240" w:lineRule="auto"/>
        <w:ind w:right="-180"/>
        <w:jc w:val="both"/>
        <w:rPr>
          <w:rFonts w:ascii="Verdana" w:eastAsia="Times New Roman" w:hAnsi="Verdana" w:cs="Times New Roman"/>
          <w:color w:val="231F20"/>
          <w:sz w:val="18"/>
          <w:szCs w:val="18"/>
          <w:vertAlign w:val="superscript"/>
        </w:rPr>
      </w:pPr>
    </w:p>
    <w:p w:rsidR="001D0100" w:rsidRDefault="001D0100">
      <w:pPr>
        <w:tabs>
          <w:tab w:val="left" w:pos="0"/>
          <w:tab w:val="left" w:pos="10440"/>
        </w:tabs>
        <w:autoSpaceDE w:val="0"/>
        <w:autoSpaceDN w:val="0"/>
        <w:adjustRightInd w:val="0"/>
        <w:spacing w:after="0" w:line="240" w:lineRule="auto"/>
        <w:ind w:right="-180"/>
        <w:jc w:val="both"/>
        <w:rPr>
          <w:rFonts w:ascii="Verdana" w:eastAsia="Times New Roman" w:hAnsi="Verdana" w:cs="Times New Roman"/>
          <w:color w:val="231F20"/>
          <w:sz w:val="18"/>
          <w:szCs w:val="18"/>
          <w:vertAlign w:val="superscript"/>
        </w:rPr>
      </w:pPr>
    </w:p>
    <w:p w:rsidR="007E112E" w:rsidRDefault="007E112E">
      <w:pPr>
        <w:tabs>
          <w:tab w:val="left" w:pos="0"/>
          <w:tab w:val="left" w:pos="10440"/>
        </w:tabs>
        <w:autoSpaceDE w:val="0"/>
        <w:autoSpaceDN w:val="0"/>
        <w:adjustRightInd w:val="0"/>
        <w:spacing w:after="0" w:line="240" w:lineRule="auto"/>
        <w:ind w:right="-180"/>
        <w:jc w:val="both"/>
        <w:rPr>
          <w:rFonts w:ascii="Verdana" w:eastAsia="Times New Roman" w:hAnsi="Verdana" w:cs="Times New Roman"/>
          <w:color w:val="231F20"/>
          <w:sz w:val="18"/>
          <w:szCs w:val="18"/>
          <w:vertAlign w:val="superscript"/>
        </w:rPr>
      </w:pPr>
    </w:p>
    <w:p w:rsidR="00887FDD" w:rsidRDefault="00887FDD">
      <w:pPr>
        <w:tabs>
          <w:tab w:val="left" w:pos="0"/>
          <w:tab w:val="left" w:pos="10440"/>
        </w:tabs>
        <w:autoSpaceDE w:val="0"/>
        <w:autoSpaceDN w:val="0"/>
        <w:adjustRightInd w:val="0"/>
        <w:spacing w:after="0" w:line="240" w:lineRule="auto"/>
        <w:ind w:right="-180"/>
        <w:jc w:val="both"/>
        <w:rPr>
          <w:rFonts w:ascii="Times New Roman" w:eastAsia="Times New Roman" w:hAnsi="Times New Roman" w:cs="Times New Roman"/>
          <w:color w:val="231F20"/>
          <w:sz w:val="40"/>
          <w:szCs w:val="40"/>
          <w:vertAlign w:val="superscript"/>
        </w:rPr>
      </w:pPr>
    </w:p>
    <w:p w:rsidR="008C67D6" w:rsidRDefault="004533DF">
      <w:pPr>
        <w:tabs>
          <w:tab w:val="left" w:pos="0"/>
          <w:tab w:val="left" w:pos="10440"/>
        </w:tabs>
        <w:autoSpaceDE w:val="0"/>
        <w:autoSpaceDN w:val="0"/>
        <w:adjustRightInd w:val="0"/>
        <w:spacing w:after="0" w:line="240" w:lineRule="auto"/>
        <w:ind w:right="-180"/>
        <w:jc w:val="both"/>
        <w:rPr>
          <w:rFonts w:ascii="Verdana" w:eastAsia="Times New Roman" w:hAnsi="Verdana" w:cs="Times New Roman"/>
          <w:b/>
          <w:color w:val="231F20"/>
          <w:sz w:val="18"/>
          <w:szCs w:val="18"/>
          <w:vertAlign w:val="superscript"/>
        </w:rPr>
      </w:pPr>
      <w:r>
        <w:rPr>
          <w:rFonts w:ascii="Times New Roman" w:eastAsia="Times New Roman" w:hAnsi="Times New Roman" w:cs="Times New Roman"/>
          <w:b/>
          <w:color w:val="231F20"/>
          <w:sz w:val="40"/>
          <w:szCs w:val="40"/>
          <w:vertAlign w:val="superscript"/>
        </w:rPr>
        <w:t>References</w:t>
      </w:r>
    </w:p>
    <w:p w:rsidR="009C25E3" w:rsidRDefault="00612B74" w:rsidP="001D0100">
      <w:pPr>
        <w:rPr>
          <w:rFonts w:ascii="Arial" w:hAnsi="Arial" w:cs="Arial"/>
          <w:color w:val="222222"/>
          <w:sz w:val="16"/>
          <w:szCs w:val="16"/>
          <w:shd w:val="clear" w:color="auto" w:fill="FFFFFF"/>
        </w:rPr>
      </w:pPr>
      <w:r>
        <w:rPr>
          <w:rFonts w:ascii="Times New Roman" w:hAnsi="Times New Roman" w:cs="Times New Roman"/>
          <w:bCs/>
          <w:color w:val="231F20"/>
          <w:sz w:val="24"/>
          <w:szCs w:val="24"/>
        </w:rPr>
        <w:t>1.</w:t>
      </w:r>
      <w:r w:rsidR="009C25E3" w:rsidRPr="003E0764">
        <w:rPr>
          <w:rFonts w:ascii="Arial" w:hAnsi="Arial" w:cs="Arial"/>
          <w:color w:val="222222"/>
          <w:sz w:val="16"/>
          <w:szCs w:val="16"/>
          <w:shd w:val="clear" w:color="auto" w:fill="FFFFFF"/>
        </w:rPr>
        <w:t xml:space="preserve"> </w:t>
      </w:r>
      <w:r w:rsidR="009C25E3" w:rsidRPr="003E0764">
        <w:rPr>
          <w:rFonts w:ascii="Times New Roman" w:hAnsi="Times New Roman" w:cs="Times New Roman"/>
          <w:color w:val="222222"/>
          <w:sz w:val="24"/>
          <w:szCs w:val="24"/>
          <w:shd w:val="clear" w:color="auto" w:fill="FFFFFF"/>
        </w:rPr>
        <w:t>Jung YH, Cho BH. Radiographic evaluation of the course and visibility of the mandibular canal. Imaging science in dentistry. 2014 Dec 1;44(4):273-8</w:t>
      </w:r>
      <w:r w:rsidR="009C25E3">
        <w:rPr>
          <w:rFonts w:ascii="Arial" w:hAnsi="Arial" w:cs="Arial"/>
          <w:color w:val="222222"/>
          <w:sz w:val="16"/>
          <w:szCs w:val="16"/>
          <w:shd w:val="clear" w:color="auto" w:fill="FFFFFF"/>
        </w:rPr>
        <w:t>.</w:t>
      </w:r>
    </w:p>
    <w:p w:rsidR="009C25E3" w:rsidRPr="009C25E3" w:rsidRDefault="009C25E3" w:rsidP="001D0100">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w:t>
      </w:r>
      <w:r w:rsidRPr="009C25E3">
        <w:rPr>
          <w:rFonts w:ascii="Times New Roman" w:hAnsi="Times New Roman" w:cs="Times New Roman"/>
          <w:color w:val="222222"/>
          <w:sz w:val="24"/>
          <w:szCs w:val="24"/>
          <w:shd w:val="clear" w:color="auto" w:fill="FFFFFF"/>
        </w:rPr>
        <w:t>. de Oliveira Júnior MR, Saud AL, Fonseca DR, De-Ary-Pires B, Pires-Neto MA, de Ary-Pires R. Morphometrical analysis of the human mandibular canal: a CT investigation. Surgical and radiologic anatomy. 2011 May;33(4):345-52.</w:t>
      </w:r>
    </w:p>
    <w:p w:rsidR="008C67D6" w:rsidRPr="00E4314F" w:rsidRDefault="00425257" w:rsidP="001D0100">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3.</w:t>
      </w:r>
      <w:r w:rsidR="00612B74" w:rsidRPr="00E4314F">
        <w:rPr>
          <w:rFonts w:ascii="Times New Roman" w:hAnsi="Times New Roman" w:cs="Times New Roman"/>
          <w:color w:val="222222"/>
          <w:sz w:val="24"/>
          <w:szCs w:val="24"/>
          <w:shd w:val="clear" w:color="auto" w:fill="FFFFFF"/>
        </w:rPr>
        <w:t>Abdulsaheb RJ, Najm AA, Farhan FA. Visibility of Mandibular Canal on CBCT Cross-Sectional Images in Comparison with Panoramic Radiograph: Retrospective Study. International Medical Journal. 2021 Jun 2;28(1):65-</w:t>
      </w:r>
      <w:r>
        <w:rPr>
          <w:rFonts w:ascii="Times New Roman" w:hAnsi="Times New Roman" w:cs="Times New Roman"/>
          <w:color w:val="222222"/>
          <w:sz w:val="24"/>
          <w:szCs w:val="24"/>
          <w:shd w:val="clear" w:color="auto" w:fill="FFFFFF"/>
        </w:rPr>
        <w:t>8.</w:t>
      </w:r>
    </w:p>
    <w:p w:rsidR="00425257" w:rsidRDefault="00425257" w:rsidP="001D0100">
      <w:pPr>
        <w:rPr>
          <w:rFonts w:ascii="Times New Roman" w:eastAsia="Times New Roman" w:hAnsi="Times New Roman" w:cs="Times New Roman"/>
          <w:color w:val="231F20"/>
          <w:sz w:val="28"/>
          <w:szCs w:val="24"/>
        </w:rPr>
      </w:pPr>
      <w:r>
        <w:rPr>
          <w:rFonts w:ascii="Arial-BoldMT" w:eastAsia="Times New Roman" w:hAnsi="Arial-BoldMT" w:cs="Times New Roman"/>
          <w:b/>
          <w:bCs/>
          <w:color w:val="231F20"/>
          <w:sz w:val="20"/>
          <w:szCs w:val="18"/>
        </w:rPr>
        <w:t>4</w:t>
      </w:r>
      <w:r w:rsidR="00FA4BC6" w:rsidRPr="001B4061">
        <w:rPr>
          <w:rFonts w:ascii="Times New Roman" w:eastAsia="Times New Roman" w:hAnsi="Times New Roman" w:cs="Times New Roman"/>
          <w:b/>
          <w:bCs/>
          <w:color w:val="231F20"/>
          <w:sz w:val="24"/>
          <w:szCs w:val="24"/>
        </w:rPr>
        <w:t>.</w:t>
      </w:r>
      <w:r w:rsidR="001B4061" w:rsidRPr="001B4061">
        <w:rPr>
          <w:rFonts w:ascii="Times New Roman" w:hAnsi="Times New Roman" w:cs="Times New Roman"/>
          <w:color w:val="222222"/>
          <w:sz w:val="24"/>
          <w:szCs w:val="24"/>
          <w:shd w:val="clear" w:color="auto" w:fill="FFFFFF"/>
        </w:rPr>
        <w:t xml:space="preserve"> Oliveira-Santos C, Capelozza AL, Dezzoti MS, Fischer CM, Poleti ML, Rubira-Bullen IR. Visibility of the mandibular canal on CBCT crosssectional images. Journal of Applied Oral Science. 2011;19:240-3.</w:t>
      </w:r>
      <w:r w:rsidR="00FA4BC6" w:rsidRPr="00E4314F">
        <w:rPr>
          <w:rFonts w:ascii="Times New Roman" w:eastAsia="Times New Roman" w:hAnsi="Times New Roman" w:cs="Times New Roman"/>
          <w:color w:val="231F20"/>
          <w:sz w:val="28"/>
          <w:szCs w:val="24"/>
        </w:rPr>
        <w:t xml:space="preserve"> </w:t>
      </w:r>
    </w:p>
    <w:p w:rsidR="00425257" w:rsidRDefault="00425257" w:rsidP="001D7ECA">
      <w:pPr>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5.</w:t>
      </w:r>
      <w:r w:rsidR="001D7ECA" w:rsidRPr="001D7ECA">
        <w:rPr>
          <w:rFonts w:ascii="Verdana" w:hAnsi="Verdana"/>
          <w:color w:val="231F20"/>
          <w:sz w:val="14"/>
          <w:szCs w:val="14"/>
        </w:rPr>
        <w:t xml:space="preserve"> </w:t>
      </w:r>
      <w:r w:rsidR="001D7ECA" w:rsidRPr="001D7ECA">
        <w:rPr>
          <w:rFonts w:ascii="Times New Roman" w:eastAsia="Times New Roman" w:hAnsi="Times New Roman" w:cs="Times New Roman"/>
          <w:color w:val="231F20"/>
          <w:sz w:val="24"/>
          <w:szCs w:val="24"/>
        </w:rPr>
        <w:t>Anderson LC, Kosinsk TF, Mentag PJ. A review of the intraosseous course of the nerves of the mandible. J Oral Implantol. 1991;17:394-403.</w:t>
      </w:r>
    </w:p>
    <w:p w:rsidR="00156363" w:rsidRPr="00156363" w:rsidRDefault="00156363" w:rsidP="00156363">
      <w:pPr>
        <w:spacing w:after="0" w:line="240" w:lineRule="auto"/>
        <w:rPr>
          <w:rFonts w:ascii="Times New Roman" w:eastAsia="Times New Roman" w:hAnsi="Times New Roman" w:cs="Times New Roman"/>
          <w:sz w:val="24"/>
          <w:szCs w:val="24"/>
        </w:rPr>
      </w:pPr>
      <w:r w:rsidRPr="00156363">
        <w:rPr>
          <w:rFonts w:ascii="Times-Roman" w:eastAsia="Times New Roman" w:hAnsi="Times-Roman" w:cs="Times New Roman"/>
          <w:color w:val="000000"/>
          <w:sz w:val="24"/>
          <w:szCs w:val="24"/>
        </w:rPr>
        <w:t>6. Angelopoulos C, Thomas SL, Hechler S, Parissis N, Hlavacek</w:t>
      </w:r>
      <w:r>
        <w:rPr>
          <w:rFonts w:ascii="Times-Roman" w:eastAsia="Times New Roman" w:hAnsi="Times-Roman" w:cs="Times New Roman"/>
          <w:color w:val="000000"/>
          <w:sz w:val="24"/>
          <w:szCs w:val="24"/>
        </w:rPr>
        <w:t xml:space="preserve"> </w:t>
      </w:r>
      <w:r w:rsidRPr="00156363">
        <w:rPr>
          <w:rFonts w:ascii="Times-Roman" w:eastAsia="Times New Roman" w:hAnsi="Times-Roman" w:cs="Times New Roman"/>
          <w:color w:val="000000"/>
          <w:sz w:val="24"/>
          <w:szCs w:val="24"/>
        </w:rPr>
        <w:t>M. Comparison between digital panoramic radiography and cone-beam computed tomography for the identification of the mandibular canal as part of presurgical dental implant assessment. J Oral Maxillofac Surg 2008; 66: 2130-5.</w:t>
      </w:r>
    </w:p>
    <w:p w:rsidR="00156363" w:rsidRPr="00156363" w:rsidRDefault="00156363" w:rsidP="001D7ECA">
      <w:pPr>
        <w:jc w:val="both"/>
        <w:rPr>
          <w:rFonts w:ascii="Times New Roman" w:eastAsia="Times New Roman" w:hAnsi="Times New Roman" w:cs="Times New Roman"/>
          <w:color w:val="231F20"/>
          <w:sz w:val="24"/>
          <w:szCs w:val="24"/>
        </w:rPr>
      </w:pPr>
    </w:p>
    <w:p w:rsidR="001D7ECA" w:rsidRPr="001D7ECA" w:rsidRDefault="00156363" w:rsidP="001D7ECA">
      <w:pPr>
        <w:jc w:val="both"/>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lastRenderedPageBreak/>
        <w:t>7</w:t>
      </w:r>
      <w:r w:rsidR="001D7ECA" w:rsidRPr="001D7ECA">
        <w:rPr>
          <w:rFonts w:ascii="Times New Roman" w:eastAsia="Times New Roman" w:hAnsi="Times New Roman" w:cs="Times New Roman"/>
          <w:color w:val="231F20"/>
          <w:sz w:val="24"/>
          <w:szCs w:val="24"/>
        </w:rPr>
        <w:t>.</w:t>
      </w:r>
      <w:r w:rsidR="001D7ECA" w:rsidRPr="001D7ECA">
        <w:rPr>
          <w:rFonts w:ascii="Times New Roman" w:hAnsi="Times New Roman" w:cs="Times New Roman"/>
          <w:color w:val="231F20"/>
          <w:sz w:val="24"/>
          <w:szCs w:val="24"/>
        </w:rPr>
        <w:t xml:space="preserve"> </w:t>
      </w:r>
      <w:r w:rsidR="001D7ECA" w:rsidRPr="001D7ECA">
        <w:rPr>
          <w:rFonts w:ascii="Times New Roman" w:eastAsia="Times New Roman" w:hAnsi="Times New Roman" w:cs="Times New Roman"/>
          <w:color w:val="231F20"/>
          <w:sz w:val="24"/>
          <w:szCs w:val="24"/>
        </w:rPr>
        <w:t xml:space="preserve">Carter RB, Keen EM. The intramandibular course of the inferior </w:t>
      </w:r>
      <w:r w:rsidR="001D7ECA">
        <w:rPr>
          <w:rFonts w:ascii="Times New Roman" w:eastAsia="Times New Roman" w:hAnsi="Times New Roman" w:cs="Times New Roman"/>
          <w:sz w:val="24"/>
          <w:szCs w:val="24"/>
        </w:rPr>
        <w:t xml:space="preserve"> </w:t>
      </w:r>
      <w:r w:rsidR="001D7ECA" w:rsidRPr="001D7ECA">
        <w:rPr>
          <w:rFonts w:ascii="Times New Roman" w:eastAsia="Times New Roman" w:hAnsi="Times New Roman" w:cs="Times New Roman"/>
          <w:color w:val="231F20"/>
          <w:sz w:val="24"/>
          <w:szCs w:val="24"/>
        </w:rPr>
        <w:t xml:space="preserve">alveolar nerve. J Anat. 1971;108:433-40. </w:t>
      </w:r>
    </w:p>
    <w:p w:rsidR="001D7ECA" w:rsidRDefault="00156363" w:rsidP="001D7ECA">
      <w:pPr>
        <w:spacing w:after="0" w:line="240" w:lineRule="auto"/>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8</w:t>
      </w:r>
      <w:r w:rsidR="001D7ECA" w:rsidRPr="001D7ECA">
        <w:rPr>
          <w:rFonts w:ascii="Times New Roman" w:eastAsia="Times New Roman" w:hAnsi="Times New Roman" w:cs="Times New Roman"/>
          <w:color w:val="231F20"/>
          <w:sz w:val="24"/>
          <w:szCs w:val="24"/>
        </w:rPr>
        <w:t>- Denio D, Torabinejad M, Bakland LK. Anatomical relationship of the mandibular canal to its surrounding structures in mature mandibles. J Endod. 1992;18:161-5.</w:t>
      </w:r>
    </w:p>
    <w:p w:rsidR="005E5CC9" w:rsidRPr="001D7ECA" w:rsidRDefault="005E5CC9" w:rsidP="001D7ECA">
      <w:pPr>
        <w:spacing w:after="0" w:line="240" w:lineRule="auto"/>
        <w:rPr>
          <w:rFonts w:ascii="Times New Roman" w:eastAsia="Times New Roman" w:hAnsi="Times New Roman" w:cs="Times New Roman"/>
          <w:sz w:val="24"/>
          <w:szCs w:val="24"/>
        </w:rPr>
      </w:pPr>
    </w:p>
    <w:p w:rsidR="00425257" w:rsidRDefault="00156363" w:rsidP="005E5CC9">
      <w:pPr>
        <w:spacing w:after="0" w:line="240" w:lineRule="auto"/>
        <w:rPr>
          <w:rFonts w:ascii="Times New Roman" w:eastAsia="Times New Roman" w:hAnsi="Times New Roman" w:cs="Times New Roman"/>
          <w:color w:val="231F20"/>
          <w:sz w:val="13"/>
          <w:szCs w:val="13"/>
        </w:rPr>
      </w:pPr>
      <w:r>
        <w:rPr>
          <w:rFonts w:ascii="Times New Roman" w:eastAsia="Times New Roman" w:hAnsi="Times New Roman" w:cs="Times New Roman"/>
          <w:color w:val="231F20"/>
          <w:sz w:val="24"/>
          <w:szCs w:val="24"/>
        </w:rPr>
        <w:t>9</w:t>
      </w:r>
      <w:r w:rsidR="005E5CC9" w:rsidRPr="005E5CC9">
        <w:rPr>
          <w:rFonts w:ascii="Times New Roman" w:eastAsia="Times New Roman" w:hAnsi="Times New Roman" w:cs="Times New Roman"/>
          <w:color w:val="231F20"/>
          <w:sz w:val="24"/>
          <w:szCs w:val="24"/>
        </w:rPr>
        <w:t xml:space="preserve">. Kamrun N, Tetsumura A, Nomura Y, Yamaguchi S, Baba O, Nakamura S, </w:t>
      </w:r>
      <w:r w:rsidR="005E5CC9" w:rsidRPr="005E5CC9">
        <w:rPr>
          <w:rFonts w:ascii="Times New Roman" w:eastAsia="Times New Roman" w:hAnsi="Times New Roman" w:cs="Times New Roman"/>
          <w:i/>
          <w:iCs/>
          <w:color w:val="231F20"/>
          <w:sz w:val="24"/>
          <w:szCs w:val="24"/>
        </w:rPr>
        <w:t>et al</w:t>
      </w:r>
      <w:r w:rsidR="005E5CC9" w:rsidRPr="005E5CC9">
        <w:rPr>
          <w:rFonts w:ascii="Times New Roman" w:eastAsia="Times New Roman" w:hAnsi="Times New Roman" w:cs="Times New Roman"/>
          <w:color w:val="231F20"/>
          <w:sz w:val="24"/>
          <w:szCs w:val="24"/>
        </w:rPr>
        <w:t>. Visualization of the superior and inferior borders of the mandibular canal: a comparative study using digital panoramic radiographs and cross-sectional computed tomography images. Oral Surg Oral Med Oral Pathol Oral Radiol. 2013; 115: 550-557</w:t>
      </w:r>
      <w:r w:rsidR="005E5CC9" w:rsidRPr="005E5CC9">
        <w:rPr>
          <w:rFonts w:ascii="Times New Roman" w:eastAsia="Times New Roman" w:hAnsi="Times New Roman" w:cs="Times New Roman"/>
          <w:color w:val="231F20"/>
          <w:sz w:val="13"/>
          <w:szCs w:val="13"/>
        </w:rPr>
        <w:t>.</w:t>
      </w:r>
    </w:p>
    <w:p w:rsidR="005E5CC9" w:rsidRDefault="005E5CC9" w:rsidP="005E5CC9">
      <w:pPr>
        <w:spacing w:after="0" w:line="240" w:lineRule="auto"/>
        <w:rPr>
          <w:rFonts w:ascii="Times New Roman" w:eastAsia="Times New Roman" w:hAnsi="Times New Roman" w:cs="Times New Roman"/>
          <w:color w:val="231F20"/>
          <w:sz w:val="13"/>
          <w:szCs w:val="13"/>
        </w:rPr>
      </w:pPr>
    </w:p>
    <w:p w:rsidR="005E5CC9" w:rsidRPr="005E5CC9" w:rsidRDefault="00156363" w:rsidP="005E5C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10</w:t>
      </w:r>
      <w:r w:rsidR="005E5CC9" w:rsidRPr="005E5CC9">
        <w:rPr>
          <w:rFonts w:ascii="Times New Roman" w:eastAsia="Times New Roman" w:hAnsi="Times New Roman" w:cs="Times New Roman"/>
          <w:color w:val="231F20"/>
          <w:sz w:val="24"/>
          <w:szCs w:val="24"/>
        </w:rPr>
        <w:t xml:space="preserve">. Naitoh M, Katsumata A, Kubota Y, Hayashi M, Ariji E. Relationship between cancellous bone density and mandibular canal depiction. Implant Dent. 2009; 18: 112-118. </w:t>
      </w:r>
    </w:p>
    <w:p w:rsidR="005E5CC9" w:rsidRDefault="005E5CC9" w:rsidP="005E5CC9">
      <w:pPr>
        <w:spacing w:after="0" w:line="240" w:lineRule="auto"/>
        <w:rPr>
          <w:rFonts w:ascii="Times New Roman" w:eastAsia="Times New Roman" w:hAnsi="Times New Roman" w:cs="Times New Roman"/>
          <w:color w:val="231F20"/>
          <w:sz w:val="24"/>
          <w:szCs w:val="24"/>
        </w:rPr>
      </w:pPr>
    </w:p>
    <w:p w:rsidR="0086634C" w:rsidRDefault="0086634C" w:rsidP="005E5CC9">
      <w:pPr>
        <w:spacing w:after="0" w:line="240" w:lineRule="auto"/>
        <w:rPr>
          <w:rFonts w:ascii="Times New Roman" w:eastAsia="Times New Roman" w:hAnsi="Times New Roman" w:cs="Times New Roman"/>
          <w:color w:val="231F20"/>
          <w:sz w:val="24"/>
          <w:szCs w:val="24"/>
        </w:rPr>
      </w:pPr>
    </w:p>
    <w:p w:rsidR="00425257" w:rsidRPr="005E5CC9" w:rsidRDefault="00156363" w:rsidP="005E5C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11</w:t>
      </w:r>
      <w:r w:rsidR="005E5CC9" w:rsidRPr="005E5CC9">
        <w:rPr>
          <w:rFonts w:ascii="Times New Roman" w:eastAsia="Times New Roman" w:hAnsi="Times New Roman" w:cs="Times New Roman"/>
          <w:color w:val="231F20"/>
          <w:sz w:val="24"/>
          <w:szCs w:val="24"/>
        </w:rPr>
        <w:t>. Lindh C, Petersson A. Radiologic examination for location of the mandibular canal: a comparison between panoramic radiography and conventional tomography. Int J Oral Maxillofac Implants. 1989; 4: 249-253.</w:t>
      </w:r>
    </w:p>
    <w:p w:rsidR="00425257" w:rsidRDefault="00425257" w:rsidP="001D0100">
      <w:pPr>
        <w:rPr>
          <w:rFonts w:ascii="Times New Roman" w:eastAsia="Times New Roman" w:hAnsi="Times New Roman" w:cs="Times New Roman"/>
          <w:color w:val="231F20"/>
          <w:sz w:val="28"/>
          <w:szCs w:val="24"/>
        </w:rPr>
      </w:pPr>
    </w:p>
    <w:p w:rsidR="00425257" w:rsidRDefault="00425257" w:rsidP="001D0100">
      <w:pPr>
        <w:rPr>
          <w:rFonts w:ascii="Times New Roman" w:eastAsia="Times New Roman" w:hAnsi="Times New Roman" w:cs="Times New Roman"/>
          <w:color w:val="231F20"/>
          <w:sz w:val="28"/>
          <w:szCs w:val="24"/>
        </w:rPr>
      </w:pPr>
    </w:p>
    <w:p w:rsidR="00425257" w:rsidRDefault="00425257" w:rsidP="001D0100">
      <w:pPr>
        <w:rPr>
          <w:rFonts w:ascii="Times New Roman" w:eastAsia="Times New Roman" w:hAnsi="Times New Roman" w:cs="Times New Roman"/>
          <w:color w:val="231F20"/>
          <w:sz w:val="28"/>
          <w:szCs w:val="24"/>
        </w:rPr>
      </w:pPr>
    </w:p>
    <w:p w:rsidR="00425257" w:rsidRDefault="00425257" w:rsidP="001D0100">
      <w:pPr>
        <w:rPr>
          <w:rFonts w:ascii="Times New Roman" w:eastAsia="Times New Roman" w:hAnsi="Times New Roman" w:cs="Times New Roman"/>
          <w:color w:val="231F20"/>
          <w:sz w:val="28"/>
          <w:szCs w:val="24"/>
        </w:rPr>
      </w:pPr>
    </w:p>
    <w:p w:rsidR="00C442BD" w:rsidRPr="001D0100" w:rsidRDefault="00C442BD" w:rsidP="00C442BD">
      <w:pPr>
        <w:spacing w:after="0" w:line="240" w:lineRule="auto"/>
        <w:rPr>
          <w:rFonts w:ascii="Times New Roman" w:eastAsia="Times New Roman" w:hAnsi="Times New Roman" w:cs="Times New Roman"/>
          <w:color w:val="231F20"/>
          <w:sz w:val="24"/>
          <w:szCs w:val="24"/>
        </w:rPr>
      </w:pPr>
    </w:p>
    <w:p w:rsidR="00C442BD" w:rsidRPr="006C5CAD" w:rsidRDefault="00C442BD" w:rsidP="006C5CAD">
      <w:pPr>
        <w:spacing w:after="0" w:line="240" w:lineRule="auto"/>
        <w:rPr>
          <w:rFonts w:ascii="Times New Roman" w:eastAsia="Times New Roman" w:hAnsi="Times New Roman" w:cs="Times New Roman"/>
          <w:color w:val="231F20"/>
          <w:sz w:val="13"/>
          <w:szCs w:val="13"/>
        </w:rPr>
      </w:pPr>
    </w:p>
    <w:sectPr w:rsidR="00C442BD" w:rsidRPr="006C5CAD" w:rsidSect="008C67D6">
      <w:pgSz w:w="12240" w:h="15840"/>
      <w:pgMar w:top="1440" w:right="900" w:bottom="1440" w:left="99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ECD" w:rsidRDefault="006F0ECD">
      <w:pPr>
        <w:spacing w:line="240" w:lineRule="auto"/>
      </w:pPr>
      <w:r>
        <w:separator/>
      </w:r>
    </w:p>
  </w:endnote>
  <w:endnote w:type="continuationSeparator" w:id="1">
    <w:p w:rsidR="006F0ECD" w:rsidRDefault="006F0EC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default"/>
    <w:sig w:usb0="00000000" w:usb1="00000000" w:usb2="00000000" w:usb3="00000000" w:csb0="00000000" w:csb1="00000000"/>
  </w:font>
  <w:font w:name="Verdana-Bold">
    <w:altName w:val="Times New Roman"/>
    <w:charset w:val="00"/>
    <w:family w:val="roman"/>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BoldMT">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ECD" w:rsidRDefault="006F0ECD">
      <w:pPr>
        <w:spacing w:after="0"/>
      </w:pPr>
      <w:r>
        <w:separator/>
      </w:r>
    </w:p>
  </w:footnote>
  <w:footnote w:type="continuationSeparator" w:id="1">
    <w:p w:rsidR="006F0ECD" w:rsidRDefault="006F0EC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C123F"/>
    <w:rsid w:val="00024FE0"/>
    <w:rsid w:val="0003431C"/>
    <w:rsid w:val="000666BF"/>
    <w:rsid w:val="00076645"/>
    <w:rsid w:val="000A37C5"/>
    <w:rsid w:val="000B4625"/>
    <w:rsid w:val="000F5726"/>
    <w:rsid w:val="00136AA4"/>
    <w:rsid w:val="0014031D"/>
    <w:rsid w:val="00143E07"/>
    <w:rsid w:val="001559B1"/>
    <w:rsid w:val="00156363"/>
    <w:rsid w:val="00173DDD"/>
    <w:rsid w:val="00197037"/>
    <w:rsid w:val="001A4846"/>
    <w:rsid w:val="001B4061"/>
    <w:rsid w:val="001D0100"/>
    <w:rsid w:val="001D2462"/>
    <w:rsid w:val="001D7ECA"/>
    <w:rsid w:val="00201B52"/>
    <w:rsid w:val="00243DAE"/>
    <w:rsid w:val="00293408"/>
    <w:rsid w:val="002F48DE"/>
    <w:rsid w:val="0030361D"/>
    <w:rsid w:val="003141EB"/>
    <w:rsid w:val="0032484A"/>
    <w:rsid w:val="00340453"/>
    <w:rsid w:val="00361A0F"/>
    <w:rsid w:val="00370D26"/>
    <w:rsid w:val="003745EA"/>
    <w:rsid w:val="003850BB"/>
    <w:rsid w:val="003B41AF"/>
    <w:rsid w:val="003D0B52"/>
    <w:rsid w:val="003D1C4E"/>
    <w:rsid w:val="003D7BF9"/>
    <w:rsid w:val="003E0764"/>
    <w:rsid w:val="003F534A"/>
    <w:rsid w:val="004013A4"/>
    <w:rsid w:val="00413B94"/>
    <w:rsid w:val="00425257"/>
    <w:rsid w:val="004533B0"/>
    <w:rsid w:val="004533DF"/>
    <w:rsid w:val="00493043"/>
    <w:rsid w:val="00493B38"/>
    <w:rsid w:val="004C079C"/>
    <w:rsid w:val="004C0E9C"/>
    <w:rsid w:val="004F515F"/>
    <w:rsid w:val="004F5D1F"/>
    <w:rsid w:val="00507F7E"/>
    <w:rsid w:val="00523336"/>
    <w:rsid w:val="0053580A"/>
    <w:rsid w:val="00535D33"/>
    <w:rsid w:val="00545BEA"/>
    <w:rsid w:val="005749AE"/>
    <w:rsid w:val="00581F90"/>
    <w:rsid w:val="00596D6B"/>
    <w:rsid w:val="005975C9"/>
    <w:rsid w:val="005C469F"/>
    <w:rsid w:val="005E5CC9"/>
    <w:rsid w:val="005F177D"/>
    <w:rsid w:val="00612B74"/>
    <w:rsid w:val="00623003"/>
    <w:rsid w:val="00626400"/>
    <w:rsid w:val="00654DB4"/>
    <w:rsid w:val="006A08E1"/>
    <w:rsid w:val="006A2155"/>
    <w:rsid w:val="006C5CAD"/>
    <w:rsid w:val="006C7D45"/>
    <w:rsid w:val="006D1232"/>
    <w:rsid w:val="006F0ECD"/>
    <w:rsid w:val="006F7DA9"/>
    <w:rsid w:val="0070187D"/>
    <w:rsid w:val="007076F8"/>
    <w:rsid w:val="0071492F"/>
    <w:rsid w:val="00714A29"/>
    <w:rsid w:val="007218FA"/>
    <w:rsid w:val="00724FB1"/>
    <w:rsid w:val="00771B1A"/>
    <w:rsid w:val="007B18F7"/>
    <w:rsid w:val="007C064A"/>
    <w:rsid w:val="007C123F"/>
    <w:rsid w:val="007E0064"/>
    <w:rsid w:val="007E112E"/>
    <w:rsid w:val="0080716C"/>
    <w:rsid w:val="00840791"/>
    <w:rsid w:val="00850B03"/>
    <w:rsid w:val="00852B10"/>
    <w:rsid w:val="00864550"/>
    <w:rsid w:val="0086634C"/>
    <w:rsid w:val="00887FDD"/>
    <w:rsid w:val="008C5A3A"/>
    <w:rsid w:val="008C5FD8"/>
    <w:rsid w:val="008C67D6"/>
    <w:rsid w:val="008E25E8"/>
    <w:rsid w:val="008E3194"/>
    <w:rsid w:val="008F4610"/>
    <w:rsid w:val="00935EFA"/>
    <w:rsid w:val="009748F2"/>
    <w:rsid w:val="00987F09"/>
    <w:rsid w:val="009A3388"/>
    <w:rsid w:val="009C25E3"/>
    <w:rsid w:val="009E74D3"/>
    <w:rsid w:val="009F1A15"/>
    <w:rsid w:val="00A02A5A"/>
    <w:rsid w:val="00A06AF1"/>
    <w:rsid w:val="00A275A5"/>
    <w:rsid w:val="00A374F9"/>
    <w:rsid w:val="00A6505D"/>
    <w:rsid w:val="00A6561B"/>
    <w:rsid w:val="00AC5D1B"/>
    <w:rsid w:val="00AC7060"/>
    <w:rsid w:val="00B0778A"/>
    <w:rsid w:val="00B2305D"/>
    <w:rsid w:val="00B24C58"/>
    <w:rsid w:val="00B4774F"/>
    <w:rsid w:val="00B80DFC"/>
    <w:rsid w:val="00B824BE"/>
    <w:rsid w:val="00B9357A"/>
    <w:rsid w:val="00C25C3B"/>
    <w:rsid w:val="00C442BD"/>
    <w:rsid w:val="00C62277"/>
    <w:rsid w:val="00C64C33"/>
    <w:rsid w:val="00CA125F"/>
    <w:rsid w:val="00CB225B"/>
    <w:rsid w:val="00CF0134"/>
    <w:rsid w:val="00D0038D"/>
    <w:rsid w:val="00D07FE3"/>
    <w:rsid w:val="00D1235F"/>
    <w:rsid w:val="00D208BB"/>
    <w:rsid w:val="00D40812"/>
    <w:rsid w:val="00D66825"/>
    <w:rsid w:val="00DA1583"/>
    <w:rsid w:val="00DA44C1"/>
    <w:rsid w:val="00DC46B8"/>
    <w:rsid w:val="00E031A8"/>
    <w:rsid w:val="00E2040A"/>
    <w:rsid w:val="00E24873"/>
    <w:rsid w:val="00E410EA"/>
    <w:rsid w:val="00E4314F"/>
    <w:rsid w:val="00E47594"/>
    <w:rsid w:val="00E52BAC"/>
    <w:rsid w:val="00E54D6C"/>
    <w:rsid w:val="00E73439"/>
    <w:rsid w:val="00E7413C"/>
    <w:rsid w:val="00E863EF"/>
    <w:rsid w:val="00E8676D"/>
    <w:rsid w:val="00E94D4F"/>
    <w:rsid w:val="00EA7D08"/>
    <w:rsid w:val="00F0316E"/>
    <w:rsid w:val="00F05C79"/>
    <w:rsid w:val="00F132AF"/>
    <w:rsid w:val="00F539BB"/>
    <w:rsid w:val="00F63CB6"/>
    <w:rsid w:val="00FA4BC6"/>
    <w:rsid w:val="00FC3F36"/>
    <w:rsid w:val="00FC5BAA"/>
    <w:rsid w:val="00FE7217"/>
    <w:rsid w:val="54F90701"/>
    <w:rsid w:val="7AB26F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7D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67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8C67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814118">
      <w:bodyDiv w:val="1"/>
      <w:marLeft w:val="0"/>
      <w:marRight w:val="0"/>
      <w:marTop w:val="0"/>
      <w:marBottom w:val="0"/>
      <w:divBdr>
        <w:top w:val="none" w:sz="0" w:space="0" w:color="auto"/>
        <w:left w:val="none" w:sz="0" w:space="0" w:color="auto"/>
        <w:bottom w:val="none" w:sz="0" w:space="0" w:color="auto"/>
        <w:right w:val="none" w:sz="0" w:space="0" w:color="auto"/>
      </w:divBdr>
      <w:divsChild>
        <w:div w:id="1237932446">
          <w:marLeft w:val="0"/>
          <w:marRight w:val="0"/>
          <w:marTop w:val="0"/>
          <w:marBottom w:val="0"/>
          <w:divBdr>
            <w:top w:val="none" w:sz="0" w:space="0" w:color="auto"/>
            <w:left w:val="none" w:sz="0" w:space="0" w:color="auto"/>
            <w:bottom w:val="none" w:sz="0" w:space="0" w:color="auto"/>
            <w:right w:val="none" w:sz="0" w:space="0" w:color="auto"/>
          </w:divBdr>
        </w:div>
        <w:div w:id="658459735">
          <w:marLeft w:val="0"/>
          <w:marRight w:val="0"/>
          <w:marTop w:val="0"/>
          <w:marBottom w:val="0"/>
          <w:divBdr>
            <w:top w:val="none" w:sz="0" w:space="0" w:color="auto"/>
            <w:left w:val="none" w:sz="0" w:space="0" w:color="auto"/>
            <w:bottom w:val="none" w:sz="0" w:space="0" w:color="auto"/>
            <w:right w:val="none" w:sz="0" w:space="0" w:color="auto"/>
          </w:divBdr>
        </w:div>
        <w:div w:id="910122452">
          <w:marLeft w:val="0"/>
          <w:marRight w:val="0"/>
          <w:marTop w:val="0"/>
          <w:marBottom w:val="0"/>
          <w:divBdr>
            <w:top w:val="none" w:sz="0" w:space="0" w:color="auto"/>
            <w:left w:val="none" w:sz="0" w:space="0" w:color="auto"/>
            <w:bottom w:val="none" w:sz="0" w:space="0" w:color="auto"/>
            <w:right w:val="none" w:sz="0" w:space="0" w:color="auto"/>
          </w:divBdr>
        </w:div>
        <w:div w:id="1127045453">
          <w:marLeft w:val="0"/>
          <w:marRight w:val="0"/>
          <w:marTop w:val="0"/>
          <w:marBottom w:val="0"/>
          <w:divBdr>
            <w:top w:val="none" w:sz="0" w:space="0" w:color="auto"/>
            <w:left w:val="none" w:sz="0" w:space="0" w:color="auto"/>
            <w:bottom w:val="none" w:sz="0" w:space="0" w:color="auto"/>
            <w:right w:val="none" w:sz="0" w:space="0" w:color="auto"/>
          </w:divBdr>
        </w:div>
      </w:divsChild>
    </w:div>
    <w:div w:id="102893026">
      <w:bodyDiv w:val="1"/>
      <w:marLeft w:val="0"/>
      <w:marRight w:val="0"/>
      <w:marTop w:val="0"/>
      <w:marBottom w:val="0"/>
      <w:divBdr>
        <w:top w:val="none" w:sz="0" w:space="0" w:color="auto"/>
        <w:left w:val="none" w:sz="0" w:space="0" w:color="auto"/>
        <w:bottom w:val="none" w:sz="0" w:space="0" w:color="auto"/>
        <w:right w:val="none" w:sz="0" w:space="0" w:color="auto"/>
      </w:divBdr>
    </w:div>
    <w:div w:id="231239055">
      <w:bodyDiv w:val="1"/>
      <w:marLeft w:val="0"/>
      <w:marRight w:val="0"/>
      <w:marTop w:val="0"/>
      <w:marBottom w:val="0"/>
      <w:divBdr>
        <w:top w:val="none" w:sz="0" w:space="0" w:color="auto"/>
        <w:left w:val="none" w:sz="0" w:space="0" w:color="auto"/>
        <w:bottom w:val="none" w:sz="0" w:space="0" w:color="auto"/>
        <w:right w:val="none" w:sz="0" w:space="0" w:color="auto"/>
      </w:divBdr>
      <w:divsChild>
        <w:div w:id="960843220">
          <w:marLeft w:val="0"/>
          <w:marRight w:val="0"/>
          <w:marTop w:val="0"/>
          <w:marBottom w:val="0"/>
          <w:divBdr>
            <w:top w:val="none" w:sz="0" w:space="0" w:color="auto"/>
            <w:left w:val="none" w:sz="0" w:space="0" w:color="auto"/>
            <w:bottom w:val="none" w:sz="0" w:space="0" w:color="auto"/>
            <w:right w:val="none" w:sz="0" w:space="0" w:color="auto"/>
          </w:divBdr>
        </w:div>
        <w:div w:id="1660645643">
          <w:marLeft w:val="0"/>
          <w:marRight w:val="0"/>
          <w:marTop w:val="0"/>
          <w:marBottom w:val="0"/>
          <w:divBdr>
            <w:top w:val="none" w:sz="0" w:space="0" w:color="auto"/>
            <w:left w:val="none" w:sz="0" w:space="0" w:color="auto"/>
            <w:bottom w:val="none" w:sz="0" w:space="0" w:color="auto"/>
            <w:right w:val="none" w:sz="0" w:space="0" w:color="auto"/>
          </w:divBdr>
        </w:div>
      </w:divsChild>
    </w:div>
    <w:div w:id="321086245">
      <w:bodyDiv w:val="1"/>
      <w:marLeft w:val="0"/>
      <w:marRight w:val="0"/>
      <w:marTop w:val="0"/>
      <w:marBottom w:val="0"/>
      <w:divBdr>
        <w:top w:val="none" w:sz="0" w:space="0" w:color="auto"/>
        <w:left w:val="none" w:sz="0" w:space="0" w:color="auto"/>
        <w:bottom w:val="none" w:sz="0" w:space="0" w:color="auto"/>
        <w:right w:val="none" w:sz="0" w:space="0" w:color="auto"/>
      </w:divBdr>
      <w:divsChild>
        <w:div w:id="1041780109">
          <w:marLeft w:val="0"/>
          <w:marRight w:val="0"/>
          <w:marTop w:val="0"/>
          <w:marBottom w:val="0"/>
          <w:divBdr>
            <w:top w:val="none" w:sz="0" w:space="0" w:color="auto"/>
            <w:left w:val="none" w:sz="0" w:space="0" w:color="auto"/>
            <w:bottom w:val="none" w:sz="0" w:space="0" w:color="auto"/>
            <w:right w:val="none" w:sz="0" w:space="0" w:color="auto"/>
          </w:divBdr>
        </w:div>
        <w:div w:id="1212574064">
          <w:marLeft w:val="0"/>
          <w:marRight w:val="0"/>
          <w:marTop w:val="0"/>
          <w:marBottom w:val="0"/>
          <w:divBdr>
            <w:top w:val="none" w:sz="0" w:space="0" w:color="auto"/>
            <w:left w:val="none" w:sz="0" w:space="0" w:color="auto"/>
            <w:bottom w:val="none" w:sz="0" w:space="0" w:color="auto"/>
            <w:right w:val="none" w:sz="0" w:space="0" w:color="auto"/>
          </w:divBdr>
        </w:div>
        <w:div w:id="84807037">
          <w:marLeft w:val="0"/>
          <w:marRight w:val="0"/>
          <w:marTop w:val="0"/>
          <w:marBottom w:val="0"/>
          <w:divBdr>
            <w:top w:val="none" w:sz="0" w:space="0" w:color="auto"/>
            <w:left w:val="none" w:sz="0" w:space="0" w:color="auto"/>
            <w:bottom w:val="none" w:sz="0" w:space="0" w:color="auto"/>
            <w:right w:val="none" w:sz="0" w:space="0" w:color="auto"/>
          </w:divBdr>
        </w:div>
      </w:divsChild>
    </w:div>
    <w:div w:id="356856380">
      <w:bodyDiv w:val="1"/>
      <w:marLeft w:val="0"/>
      <w:marRight w:val="0"/>
      <w:marTop w:val="0"/>
      <w:marBottom w:val="0"/>
      <w:divBdr>
        <w:top w:val="none" w:sz="0" w:space="0" w:color="auto"/>
        <w:left w:val="none" w:sz="0" w:space="0" w:color="auto"/>
        <w:bottom w:val="none" w:sz="0" w:space="0" w:color="auto"/>
        <w:right w:val="none" w:sz="0" w:space="0" w:color="auto"/>
      </w:divBdr>
      <w:divsChild>
        <w:div w:id="1544247898">
          <w:marLeft w:val="0"/>
          <w:marRight w:val="0"/>
          <w:marTop w:val="0"/>
          <w:marBottom w:val="0"/>
          <w:divBdr>
            <w:top w:val="none" w:sz="0" w:space="0" w:color="auto"/>
            <w:left w:val="none" w:sz="0" w:space="0" w:color="auto"/>
            <w:bottom w:val="none" w:sz="0" w:space="0" w:color="auto"/>
            <w:right w:val="none" w:sz="0" w:space="0" w:color="auto"/>
          </w:divBdr>
        </w:div>
        <w:div w:id="1274509173">
          <w:marLeft w:val="0"/>
          <w:marRight w:val="0"/>
          <w:marTop w:val="0"/>
          <w:marBottom w:val="0"/>
          <w:divBdr>
            <w:top w:val="none" w:sz="0" w:space="0" w:color="auto"/>
            <w:left w:val="none" w:sz="0" w:space="0" w:color="auto"/>
            <w:bottom w:val="none" w:sz="0" w:space="0" w:color="auto"/>
            <w:right w:val="none" w:sz="0" w:space="0" w:color="auto"/>
          </w:divBdr>
        </w:div>
        <w:div w:id="1565264117">
          <w:marLeft w:val="0"/>
          <w:marRight w:val="0"/>
          <w:marTop w:val="0"/>
          <w:marBottom w:val="0"/>
          <w:divBdr>
            <w:top w:val="none" w:sz="0" w:space="0" w:color="auto"/>
            <w:left w:val="none" w:sz="0" w:space="0" w:color="auto"/>
            <w:bottom w:val="none" w:sz="0" w:space="0" w:color="auto"/>
            <w:right w:val="none" w:sz="0" w:space="0" w:color="auto"/>
          </w:divBdr>
        </w:div>
        <w:div w:id="376247339">
          <w:marLeft w:val="0"/>
          <w:marRight w:val="0"/>
          <w:marTop w:val="0"/>
          <w:marBottom w:val="0"/>
          <w:divBdr>
            <w:top w:val="none" w:sz="0" w:space="0" w:color="auto"/>
            <w:left w:val="none" w:sz="0" w:space="0" w:color="auto"/>
            <w:bottom w:val="none" w:sz="0" w:space="0" w:color="auto"/>
            <w:right w:val="none" w:sz="0" w:space="0" w:color="auto"/>
          </w:divBdr>
        </w:div>
      </w:divsChild>
    </w:div>
    <w:div w:id="519320655">
      <w:bodyDiv w:val="1"/>
      <w:marLeft w:val="0"/>
      <w:marRight w:val="0"/>
      <w:marTop w:val="0"/>
      <w:marBottom w:val="0"/>
      <w:divBdr>
        <w:top w:val="none" w:sz="0" w:space="0" w:color="auto"/>
        <w:left w:val="none" w:sz="0" w:space="0" w:color="auto"/>
        <w:bottom w:val="none" w:sz="0" w:space="0" w:color="auto"/>
        <w:right w:val="none" w:sz="0" w:space="0" w:color="auto"/>
      </w:divBdr>
      <w:divsChild>
        <w:div w:id="128713613">
          <w:marLeft w:val="0"/>
          <w:marRight w:val="0"/>
          <w:marTop w:val="0"/>
          <w:marBottom w:val="0"/>
          <w:divBdr>
            <w:top w:val="none" w:sz="0" w:space="0" w:color="auto"/>
            <w:left w:val="none" w:sz="0" w:space="0" w:color="auto"/>
            <w:bottom w:val="none" w:sz="0" w:space="0" w:color="auto"/>
            <w:right w:val="none" w:sz="0" w:space="0" w:color="auto"/>
          </w:divBdr>
        </w:div>
        <w:div w:id="1314603013">
          <w:marLeft w:val="0"/>
          <w:marRight w:val="0"/>
          <w:marTop w:val="0"/>
          <w:marBottom w:val="0"/>
          <w:divBdr>
            <w:top w:val="none" w:sz="0" w:space="0" w:color="auto"/>
            <w:left w:val="none" w:sz="0" w:space="0" w:color="auto"/>
            <w:bottom w:val="none" w:sz="0" w:space="0" w:color="auto"/>
            <w:right w:val="none" w:sz="0" w:space="0" w:color="auto"/>
          </w:divBdr>
        </w:div>
        <w:div w:id="235406991">
          <w:marLeft w:val="0"/>
          <w:marRight w:val="0"/>
          <w:marTop w:val="0"/>
          <w:marBottom w:val="0"/>
          <w:divBdr>
            <w:top w:val="none" w:sz="0" w:space="0" w:color="auto"/>
            <w:left w:val="none" w:sz="0" w:space="0" w:color="auto"/>
            <w:bottom w:val="none" w:sz="0" w:space="0" w:color="auto"/>
            <w:right w:val="none" w:sz="0" w:space="0" w:color="auto"/>
          </w:divBdr>
        </w:div>
        <w:div w:id="553783139">
          <w:marLeft w:val="0"/>
          <w:marRight w:val="0"/>
          <w:marTop w:val="0"/>
          <w:marBottom w:val="0"/>
          <w:divBdr>
            <w:top w:val="none" w:sz="0" w:space="0" w:color="auto"/>
            <w:left w:val="none" w:sz="0" w:space="0" w:color="auto"/>
            <w:bottom w:val="none" w:sz="0" w:space="0" w:color="auto"/>
            <w:right w:val="none" w:sz="0" w:space="0" w:color="auto"/>
          </w:divBdr>
        </w:div>
      </w:divsChild>
    </w:div>
    <w:div w:id="531263200">
      <w:bodyDiv w:val="1"/>
      <w:marLeft w:val="0"/>
      <w:marRight w:val="0"/>
      <w:marTop w:val="0"/>
      <w:marBottom w:val="0"/>
      <w:divBdr>
        <w:top w:val="none" w:sz="0" w:space="0" w:color="auto"/>
        <w:left w:val="none" w:sz="0" w:space="0" w:color="auto"/>
        <w:bottom w:val="none" w:sz="0" w:space="0" w:color="auto"/>
        <w:right w:val="none" w:sz="0" w:space="0" w:color="auto"/>
      </w:divBdr>
      <w:divsChild>
        <w:div w:id="224922737">
          <w:marLeft w:val="0"/>
          <w:marRight w:val="0"/>
          <w:marTop w:val="0"/>
          <w:marBottom w:val="0"/>
          <w:divBdr>
            <w:top w:val="none" w:sz="0" w:space="0" w:color="auto"/>
            <w:left w:val="none" w:sz="0" w:space="0" w:color="auto"/>
            <w:bottom w:val="none" w:sz="0" w:space="0" w:color="auto"/>
            <w:right w:val="none" w:sz="0" w:space="0" w:color="auto"/>
          </w:divBdr>
        </w:div>
        <w:div w:id="1192500367">
          <w:marLeft w:val="0"/>
          <w:marRight w:val="0"/>
          <w:marTop w:val="0"/>
          <w:marBottom w:val="0"/>
          <w:divBdr>
            <w:top w:val="none" w:sz="0" w:space="0" w:color="auto"/>
            <w:left w:val="none" w:sz="0" w:space="0" w:color="auto"/>
            <w:bottom w:val="none" w:sz="0" w:space="0" w:color="auto"/>
            <w:right w:val="none" w:sz="0" w:space="0" w:color="auto"/>
          </w:divBdr>
        </w:div>
      </w:divsChild>
    </w:div>
    <w:div w:id="593441464">
      <w:bodyDiv w:val="1"/>
      <w:marLeft w:val="0"/>
      <w:marRight w:val="0"/>
      <w:marTop w:val="0"/>
      <w:marBottom w:val="0"/>
      <w:divBdr>
        <w:top w:val="none" w:sz="0" w:space="0" w:color="auto"/>
        <w:left w:val="none" w:sz="0" w:space="0" w:color="auto"/>
        <w:bottom w:val="none" w:sz="0" w:space="0" w:color="auto"/>
        <w:right w:val="none" w:sz="0" w:space="0" w:color="auto"/>
      </w:divBdr>
      <w:divsChild>
        <w:div w:id="484050904">
          <w:marLeft w:val="0"/>
          <w:marRight w:val="0"/>
          <w:marTop w:val="0"/>
          <w:marBottom w:val="0"/>
          <w:divBdr>
            <w:top w:val="none" w:sz="0" w:space="0" w:color="auto"/>
            <w:left w:val="none" w:sz="0" w:space="0" w:color="auto"/>
            <w:bottom w:val="none" w:sz="0" w:space="0" w:color="auto"/>
            <w:right w:val="none" w:sz="0" w:space="0" w:color="auto"/>
          </w:divBdr>
        </w:div>
      </w:divsChild>
    </w:div>
    <w:div w:id="681054692">
      <w:bodyDiv w:val="1"/>
      <w:marLeft w:val="0"/>
      <w:marRight w:val="0"/>
      <w:marTop w:val="0"/>
      <w:marBottom w:val="0"/>
      <w:divBdr>
        <w:top w:val="none" w:sz="0" w:space="0" w:color="auto"/>
        <w:left w:val="none" w:sz="0" w:space="0" w:color="auto"/>
        <w:bottom w:val="none" w:sz="0" w:space="0" w:color="auto"/>
        <w:right w:val="none" w:sz="0" w:space="0" w:color="auto"/>
      </w:divBdr>
      <w:divsChild>
        <w:div w:id="1640916347">
          <w:marLeft w:val="0"/>
          <w:marRight w:val="0"/>
          <w:marTop w:val="0"/>
          <w:marBottom w:val="0"/>
          <w:divBdr>
            <w:top w:val="none" w:sz="0" w:space="0" w:color="auto"/>
            <w:left w:val="none" w:sz="0" w:space="0" w:color="auto"/>
            <w:bottom w:val="none" w:sz="0" w:space="0" w:color="auto"/>
            <w:right w:val="none" w:sz="0" w:space="0" w:color="auto"/>
          </w:divBdr>
        </w:div>
        <w:div w:id="1155605237">
          <w:marLeft w:val="0"/>
          <w:marRight w:val="0"/>
          <w:marTop w:val="0"/>
          <w:marBottom w:val="0"/>
          <w:divBdr>
            <w:top w:val="none" w:sz="0" w:space="0" w:color="auto"/>
            <w:left w:val="none" w:sz="0" w:space="0" w:color="auto"/>
            <w:bottom w:val="none" w:sz="0" w:space="0" w:color="auto"/>
            <w:right w:val="none" w:sz="0" w:space="0" w:color="auto"/>
          </w:divBdr>
        </w:div>
        <w:div w:id="617298176">
          <w:marLeft w:val="0"/>
          <w:marRight w:val="0"/>
          <w:marTop w:val="0"/>
          <w:marBottom w:val="0"/>
          <w:divBdr>
            <w:top w:val="none" w:sz="0" w:space="0" w:color="auto"/>
            <w:left w:val="none" w:sz="0" w:space="0" w:color="auto"/>
            <w:bottom w:val="none" w:sz="0" w:space="0" w:color="auto"/>
            <w:right w:val="none" w:sz="0" w:space="0" w:color="auto"/>
          </w:divBdr>
        </w:div>
        <w:div w:id="1024015584">
          <w:marLeft w:val="0"/>
          <w:marRight w:val="0"/>
          <w:marTop w:val="0"/>
          <w:marBottom w:val="0"/>
          <w:divBdr>
            <w:top w:val="none" w:sz="0" w:space="0" w:color="auto"/>
            <w:left w:val="none" w:sz="0" w:space="0" w:color="auto"/>
            <w:bottom w:val="none" w:sz="0" w:space="0" w:color="auto"/>
            <w:right w:val="none" w:sz="0" w:space="0" w:color="auto"/>
          </w:divBdr>
        </w:div>
      </w:divsChild>
    </w:div>
    <w:div w:id="728841149">
      <w:bodyDiv w:val="1"/>
      <w:marLeft w:val="0"/>
      <w:marRight w:val="0"/>
      <w:marTop w:val="0"/>
      <w:marBottom w:val="0"/>
      <w:divBdr>
        <w:top w:val="none" w:sz="0" w:space="0" w:color="auto"/>
        <w:left w:val="none" w:sz="0" w:space="0" w:color="auto"/>
        <w:bottom w:val="none" w:sz="0" w:space="0" w:color="auto"/>
        <w:right w:val="none" w:sz="0" w:space="0" w:color="auto"/>
      </w:divBdr>
      <w:divsChild>
        <w:div w:id="1391616619">
          <w:marLeft w:val="0"/>
          <w:marRight w:val="0"/>
          <w:marTop w:val="0"/>
          <w:marBottom w:val="0"/>
          <w:divBdr>
            <w:top w:val="none" w:sz="0" w:space="0" w:color="auto"/>
            <w:left w:val="none" w:sz="0" w:space="0" w:color="auto"/>
            <w:bottom w:val="none" w:sz="0" w:space="0" w:color="auto"/>
            <w:right w:val="none" w:sz="0" w:space="0" w:color="auto"/>
          </w:divBdr>
        </w:div>
        <w:div w:id="1006399380">
          <w:marLeft w:val="0"/>
          <w:marRight w:val="0"/>
          <w:marTop w:val="0"/>
          <w:marBottom w:val="0"/>
          <w:divBdr>
            <w:top w:val="none" w:sz="0" w:space="0" w:color="auto"/>
            <w:left w:val="none" w:sz="0" w:space="0" w:color="auto"/>
            <w:bottom w:val="none" w:sz="0" w:space="0" w:color="auto"/>
            <w:right w:val="none" w:sz="0" w:space="0" w:color="auto"/>
          </w:divBdr>
        </w:div>
        <w:div w:id="741879270">
          <w:marLeft w:val="0"/>
          <w:marRight w:val="0"/>
          <w:marTop w:val="0"/>
          <w:marBottom w:val="0"/>
          <w:divBdr>
            <w:top w:val="none" w:sz="0" w:space="0" w:color="auto"/>
            <w:left w:val="none" w:sz="0" w:space="0" w:color="auto"/>
            <w:bottom w:val="none" w:sz="0" w:space="0" w:color="auto"/>
            <w:right w:val="none" w:sz="0" w:space="0" w:color="auto"/>
          </w:divBdr>
        </w:div>
      </w:divsChild>
    </w:div>
    <w:div w:id="1108740951">
      <w:bodyDiv w:val="1"/>
      <w:marLeft w:val="0"/>
      <w:marRight w:val="0"/>
      <w:marTop w:val="0"/>
      <w:marBottom w:val="0"/>
      <w:divBdr>
        <w:top w:val="none" w:sz="0" w:space="0" w:color="auto"/>
        <w:left w:val="none" w:sz="0" w:space="0" w:color="auto"/>
        <w:bottom w:val="none" w:sz="0" w:space="0" w:color="auto"/>
        <w:right w:val="none" w:sz="0" w:space="0" w:color="auto"/>
      </w:divBdr>
      <w:divsChild>
        <w:div w:id="1127890806">
          <w:marLeft w:val="0"/>
          <w:marRight w:val="0"/>
          <w:marTop w:val="0"/>
          <w:marBottom w:val="0"/>
          <w:divBdr>
            <w:top w:val="none" w:sz="0" w:space="0" w:color="auto"/>
            <w:left w:val="none" w:sz="0" w:space="0" w:color="auto"/>
            <w:bottom w:val="none" w:sz="0" w:space="0" w:color="auto"/>
            <w:right w:val="none" w:sz="0" w:space="0" w:color="auto"/>
          </w:divBdr>
        </w:div>
        <w:div w:id="698553635">
          <w:marLeft w:val="0"/>
          <w:marRight w:val="0"/>
          <w:marTop w:val="0"/>
          <w:marBottom w:val="0"/>
          <w:divBdr>
            <w:top w:val="none" w:sz="0" w:space="0" w:color="auto"/>
            <w:left w:val="none" w:sz="0" w:space="0" w:color="auto"/>
            <w:bottom w:val="none" w:sz="0" w:space="0" w:color="auto"/>
            <w:right w:val="none" w:sz="0" w:space="0" w:color="auto"/>
          </w:divBdr>
        </w:div>
        <w:div w:id="11997334">
          <w:marLeft w:val="0"/>
          <w:marRight w:val="0"/>
          <w:marTop w:val="0"/>
          <w:marBottom w:val="0"/>
          <w:divBdr>
            <w:top w:val="none" w:sz="0" w:space="0" w:color="auto"/>
            <w:left w:val="none" w:sz="0" w:space="0" w:color="auto"/>
            <w:bottom w:val="none" w:sz="0" w:space="0" w:color="auto"/>
            <w:right w:val="none" w:sz="0" w:space="0" w:color="auto"/>
          </w:divBdr>
        </w:div>
      </w:divsChild>
    </w:div>
    <w:div w:id="1144591294">
      <w:bodyDiv w:val="1"/>
      <w:marLeft w:val="0"/>
      <w:marRight w:val="0"/>
      <w:marTop w:val="0"/>
      <w:marBottom w:val="0"/>
      <w:divBdr>
        <w:top w:val="none" w:sz="0" w:space="0" w:color="auto"/>
        <w:left w:val="none" w:sz="0" w:space="0" w:color="auto"/>
        <w:bottom w:val="none" w:sz="0" w:space="0" w:color="auto"/>
        <w:right w:val="none" w:sz="0" w:space="0" w:color="auto"/>
      </w:divBdr>
      <w:divsChild>
        <w:div w:id="1226139613">
          <w:marLeft w:val="0"/>
          <w:marRight w:val="0"/>
          <w:marTop w:val="0"/>
          <w:marBottom w:val="0"/>
          <w:divBdr>
            <w:top w:val="none" w:sz="0" w:space="0" w:color="auto"/>
            <w:left w:val="none" w:sz="0" w:space="0" w:color="auto"/>
            <w:bottom w:val="none" w:sz="0" w:space="0" w:color="auto"/>
            <w:right w:val="none" w:sz="0" w:space="0" w:color="auto"/>
          </w:divBdr>
        </w:div>
      </w:divsChild>
    </w:div>
    <w:div w:id="1154373011">
      <w:bodyDiv w:val="1"/>
      <w:marLeft w:val="0"/>
      <w:marRight w:val="0"/>
      <w:marTop w:val="0"/>
      <w:marBottom w:val="0"/>
      <w:divBdr>
        <w:top w:val="none" w:sz="0" w:space="0" w:color="auto"/>
        <w:left w:val="none" w:sz="0" w:space="0" w:color="auto"/>
        <w:bottom w:val="none" w:sz="0" w:space="0" w:color="auto"/>
        <w:right w:val="none" w:sz="0" w:space="0" w:color="auto"/>
      </w:divBdr>
    </w:div>
    <w:div w:id="1211113586">
      <w:bodyDiv w:val="1"/>
      <w:marLeft w:val="0"/>
      <w:marRight w:val="0"/>
      <w:marTop w:val="0"/>
      <w:marBottom w:val="0"/>
      <w:divBdr>
        <w:top w:val="none" w:sz="0" w:space="0" w:color="auto"/>
        <w:left w:val="none" w:sz="0" w:space="0" w:color="auto"/>
        <w:bottom w:val="none" w:sz="0" w:space="0" w:color="auto"/>
        <w:right w:val="none" w:sz="0" w:space="0" w:color="auto"/>
      </w:divBdr>
      <w:divsChild>
        <w:div w:id="844518803">
          <w:marLeft w:val="0"/>
          <w:marRight w:val="0"/>
          <w:marTop w:val="0"/>
          <w:marBottom w:val="0"/>
          <w:divBdr>
            <w:top w:val="none" w:sz="0" w:space="0" w:color="auto"/>
            <w:left w:val="none" w:sz="0" w:space="0" w:color="auto"/>
            <w:bottom w:val="none" w:sz="0" w:space="0" w:color="auto"/>
            <w:right w:val="none" w:sz="0" w:space="0" w:color="auto"/>
          </w:divBdr>
        </w:div>
        <w:div w:id="400642679">
          <w:marLeft w:val="0"/>
          <w:marRight w:val="0"/>
          <w:marTop w:val="0"/>
          <w:marBottom w:val="0"/>
          <w:divBdr>
            <w:top w:val="none" w:sz="0" w:space="0" w:color="auto"/>
            <w:left w:val="none" w:sz="0" w:space="0" w:color="auto"/>
            <w:bottom w:val="none" w:sz="0" w:space="0" w:color="auto"/>
            <w:right w:val="none" w:sz="0" w:space="0" w:color="auto"/>
          </w:divBdr>
        </w:div>
        <w:div w:id="1208301465">
          <w:marLeft w:val="0"/>
          <w:marRight w:val="0"/>
          <w:marTop w:val="0"/>
          <w:marBottom w:val="0"/>
          <w:divBdr>
            <w:top w:val="none" w:sz="0" w:space="0" w:color="auto"/>
            <w:left w:val="none" w:sz="0" w:space="0" w:color="auto"/>
            <w:bottom w:val="none" w:sz="0" w:space="0" w:color="auto"/>
            <w:right w:val="none" w:sz="0" w:space="0" w:color="auto"/>
          </w:divBdr>
        </w:div>
        <w:div w:id="247540883">
          <w:marLeft w:val="0"/>
          <w:marRight w:val="0"/>
          <w:marTop w:val="0"/>
          <w:marBottom w:val="0"/>
          <w:divBdr>
            <w:top w:val="none" w:sz="0" w:space="0" w:color="auto"/>
            <w:left w:val="none" w:sz="0" w:space="0" w:color="auto"/>
            <w:bottom w:val="none" w:sz="0" w:space="0" w:color="auto"/>
            <w:right w:val="none" w:sz="0" w:space="0" w:color="auto"/>
          </w:divBdr>
        </w:div>
        <w:div w:id="598368752">
          <w:marLeft w:val="0"/>
          <w:marRight w:val="0"/>
          <w:marTop w:val="0"/>
          <w:marBottom w:val="0"/>
          <w:divBdr>
            <w:top w:val="none" w:sz="0" w:space="0" w:color="auto"/>
            <w:left w:val="none" w:sz="0" w:space="0" w:color="auto"/>
            <w:bottom w:val="none" w:sz="0" w:space="0" w:color="auto"/>
            <w:right w:val="none" w:sz="0" w:space="0" w:color="auto"/>
          </w:divBdr>
        </w:div>
        <w:div w:id="1338726764">
          <w:marLeft w:val="0"/>
          <w:marRight w:val="0"/>
          <w:marTop w:val="0"/>
          <w:marBottom w:val="0"/>
          <w:divBdr>
            <w:top w:val="none" w:sz="0" w:space="0" w:color="auto"/>
            <w:left w:val="none" w:sz="0" w:space="0" w:color="auto"/>
            <w:bottom w:val="none" w:sz="0" w:space="0" w:color="auto"/>
            <w:right w:val="none" w:sz="0" w:space="0" w:color="auto"/>
          </w:divBdr>
        </w:div>
      </w:divsChild>
    </w:div>
    <w:div w:id="1266576709">
      <w:bodyDiv w:val="1"/>
      <w:marLeft w:val="0"/>
      <w:marRight w:val="0"/>
      <w:marTop w:val="0"/>
      <w:marBottom w:val="0"/>
      <w:divBdr>
        <w:top w:val="none" w:sz="0" w:space="0" w:color="auto"/>
        <w:left w:val="none" w:sz="0" w:space="0" w:color="auto"/>
        <w:bottom w:val="none" w:sz="0" w:space="0" w:color="auto"/>
        <w:right w:val="none" w:sz="0" w:space="0" w:color="auto"/>
      </w:divBdr>
      <w:divsChild>
        <w:div w:id="1971083738">
          <w:marLeft w:val="0"/>
          <w:marRight w:val="0"/>
          <w:marTop w:val="0"/>
          <w:marBottom w:val="0"/>
          <w:divBdr>
            <w:top w:val="none" w:sz="0" w:space="0" w:color="auto"/>
            <w:left w:val="none" w:sz="0" w:space="0" w:color="auto"/>
            <w:bottom w:val="none" w:sz="0" w:space="0" w:color="auto"/>
            <w:right w:val="none" w:sz="0" w:space="0" w:color="auto"/>
          </w:divBdr>
        </w:div>
        <w:div w:id="583565195">
          <w:marLeft w:val="0"/>
          <w:marRight w:val="0"/>
          <w:marTop w:val="0"/>
          <w:marBottom w:val="0"/>
          <w:divBdr>
            <w:top w:val="none" w:sz="0" w:space="0" w:color="auto"/>
            <w:left w:val="none" w:sz="0" w:space="0" w:color="auto"/>
            <w:bottom w:val="none" w:sz="0" w:space="0" w:color="auto"/>
            <w:right w:val="none" w:sz="0" w:space="0" w:color="auto"/>
          </w:divBdr>
        </w:div>
        <w:div w:id="546335411">
          <w:marLeft w:val="0"/>
          <w:marRight w:val="0"/>
          <w:marTop w:val="0"/>
          <w:marBottom w:val="0"/>
          <w:divBdr>
            <w:top w:val="none" w:sz="0" w:space="0" w:color="auto"/>
            <w:left w:val="none" w:sz="0" w:space="0" w:color="auto"/>
            <w:bottom w:val="none" w:sz="0" w:space="0" w:color="auto"/>
            <w:right w:val="none" w:sz="0" w:space="0" w:color="auto"/>
          </w:divBdr>
        </w:div>
        <w:div w:id="2048917859">
          <w:marLeft w:val="0"/>
          <w:marRight w:val="0"/>
          <w:marTop w:val="0"/>
          <w:marBottom w:val="0"/>
          <w:divBdr>
            <w:top w:val="none" w:sz="0" w:space="0" w:color="auto"/>
            <w:left w:val="none" w:sz="0" w:space="0" w:color="auto"/>
            <w:bottom w:val="none" w:sz="0" w:space="0" w:color="auto"/>
            <w:right w:val="none" w:sz="0" w:space="0" w:color="auto"/>
          </w:divBdr>
        </w:div>
      </w:divsChild>
    </w:div>
    <w:div w:id="1472558463">
      <w:bodyDiv w:val="1"/>
      <w:marLeft w:val="0"/>
      <w:marRight w:val="0"/>
      <w:marTop w:val="0"/>
      <w:marBottom w:val="0"/>
      <w:divBdr>
        <w:top w:val="none" w:sz="0" w:space="0" w:color="auto"/>
        <w:left w:val="none" w:sz="0" w:space="0" w:color="auto"/>
        <w:bottom w:val="none" w:sz="0" w:space="0" w:color="auto"/>
        <w:right w:val="none" w:sz="0" w:space="0" w:color="auto"/>
      </w:divBdr>
    </w:div>
    <w:div w:id="1813205179">
      <w:bodyDiv w:val="1"/>
      <w:marLeft w:val="0"/>
      <w:marRight w:val="0"/>
      <w:marTop w:val="0"/>
      <w:marBottom w:val="0"/>
      <w:divBdr>
        <w:top w:val="none" w:sz="0" w:space="0" w:color="auto"/>
        <w:left w:val="none" w:sz="0" w:space="0" w:color="auto"/>
        <w:bottom w:val="none" w:sz="0" w:space="0" w:color="auto"/>
        <w:right w:val="none" w:sz="0" w:space="0" w:color="auto"/>
      </w:divBdr>
      <w:divsChild>
        <w:div w:id="473645173">
          <w:marLeft w:val="0"/>
          <w:marRight w:val="0"/>
          <w:marTop w:val="0"/>
          <w:marBottom w:val="0"/>
          <w:divBdr>
            <w:top w:val="none" w:sz="0" w:space="0" w:color="auto"/>
            <w:left w:val="none" w:sz="0" w:space="0" w:color="auto"/>
            <w:bottom w:val="none" w:sz="0" w:space="0" w:color="auto"/>
            <w:right w:val="none" w:sz="0" w:space="0" w:color="auto"/>
          </w:divBdr>
        </w:div>
        <w:div w:id="1464734657">
          <w:marLeft w:val="0"/>
          <w:marRight w:val="0"/>
          <w:marTop w:val="0"/>
          <w:marBottom w:val="0"/>
          <w:divBdr>
            <w:top w:val="none" w:sz="0" w:space="0" w:color="auto"/>
            <w:left w:val="none" w:sz="0" w:space="0" w:color="auto"/>
            <w:bottom w:val="none" w:sz="0" w:space="0" w:color="auto"/>
            <w:right w:val="none" w:sz="0" w:space="0" w:color="auto"/>
          </w:divBdr>
        </w:div>
        <w:div w:id="179544687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1802</Words>
  <Characters>10274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pc</dc:creator>
  <cp:lastModifiedBy>new pc</cp:lastModifiedBy>
  <cp:revision>2</cp:revision>
  <dcterms:created xsi:type="dcterms:W3CDTF">2022-05-21T03:17:00Z</dcterms:created>
  <dcterms:modified xsi:type="dcterms:W3CDTF">2022-05-21T03:17:00Z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B468A7B365EB4BEDA76FA5F6735BB13F</vt:lpwstr>
  </property>
</Properties>
</file>