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562" w:firstLineChars="200"/>
        <w:rPr>
          <w:rFonts w:hint="default" w:ascii="Times New Roman" w:hAnsi="Times New Roman" w:cs="Times New Roman"/>
          <w:b/>
          <w:bCs/>
          <w:sz w:val="28"/>
          <w:szCs w:val="28"/>
          <w:lang w:val="en-GB"/>
        </w:rPr>
      </w:pPr>
    </w:p>
    <w:p>
      <w:pPr>
        <w:ind w:firstLine="562" w:firstLineChars="200"/>
        <w:rPr>
          <w:rFonts w:hint="default" w:ascii="Times New Roman" w:hAnsi="Times New Roman" w:cs="Times New Roman"/>
          <w:b/>
          <w:bCs/>
          <w:sz w:val="28"/>
          <w:szCs w:val="28"/>
          <w:lang w:val="en-GB"/>
        </w:rPr>
      </w:pPr>
    </w:p>
    <w:p>
      <w:pPr>
        <w:rPr>
          <w:rFonts w:hint="default" w:ascii="Times New Roman" w:hAnsi="Times New Roman" w:cs="Times New Roman"/>
          <w:b/>
          <w:bCs/>
          <w:sz w:val="28"/>
          <w:szCs w:val="28"/>
          <w:lang w:val="en-GB"/>
        </w:rPr>
      </w:pPr>
      <w:r>
        <w:rPr>
          <w:rFonts w:hint="default" w:ascii="Times New Roman" w:hAnsi="Times New Roman" w:cs="Times New Roman"/>
          <w:b/>
          <w:bCs/>
          <w:sz w:val="28"/>
          <w:szCs w:val="28"/>
          <w:lang w:val="en-GB"/>
        </w:rPr>
        <w:t>TITLE: POST COVID MUCORMYCOSIS OF MANDIBLE</w:t>
      </w:r>
    </w:p>
    <w:p>
      <w:pPr>
        <w:ind w:firstLine="562" w:firstLineChars="200"/>
        <w:rPr>
          <w:rFonts w:hint="default" w:ascii="Times New Roman" w:hAnsi="Times New Roman" w:cs="Times New Roman"/>
          <w:b/>
          <w:bCs/>
          <w:sz w:val="28"/>
          <w:szCs w:val="28"/>
          <w:lang w:val="en-GB"/>
        </w:rPr>
      </w:pPr>
    </w:p>
    <w:p>
      <w:pPr>
        <w:ind w:firstLine="562" w:firstLineChars="200"/>
        <w:rPr>
          <w:rFonts w:hint="default" w:ascii="Times New Roman" w:hAnsi="Times New Roman" w:cs="Times New Roman"/>
          <w:b/>
          <w:bCs/>
          <w:sz w:val="28"/>
          <w:szCs w:val="28"/>
          <w:lang w:val="en-GB"/>
        </w:rPr>
      </w:pPr>
    </w:p>
    <w:p>
      <w:pPr>
        <w:rPr>
          <w:rFonts w:hint="default" w:ascii="Times New Roman" w:hAnsi="Times New Roman" w:cs="Times New Roman"/>
          <w:b w:val="0"/>
          <w:bCs w:val="0"/>
          <w:sz w:val="28"/>
          <w:szCs w:val="28"/>
          <w:lang w:val="en-GB"/>
        </w:rPr>
      </w:pPr>
      <w:r>
        <w:rPr>
          <w:rFonts w:hint="default" w:ascii="Times New Roman" w:hAnsi="Times New Roman" w:cs="Times New Roman"/>
          <w:b/>
          <w:bCs/>
          <w:sz w:val="28"/>
          <w:szCs w:val="28"/>
          <w:lang w:val="en-GB"/>
        </w:rPr>
        <w:t xml:space="preserve">ABSTRACT: </w:t>
      </w:r>
    </w:p>
    <w:p>
      <w:pPr>
        <w:ind w:firstLine="560" w:firstLineChars="200"/>
        <w:rPr>
          <w:rFonts w:hint="default" w:ascii="Times New Roman" w:hAnsi="Times New Roman" w:cs="Times New Roman"/>
          <w:b w:val="0"/>
          <w:bCs w:val="0"/>
          <w:sz w:val="28"/>
          <w:szCs w:val="28"/>
          <w:lang w:val="en-GB"/>
        </w:rPr>
      </w:pPr>
    </w:p>
    <w:p>
      <w:pPr>
        <w:jc w:val="both"/>
        <w:rPr>
          <w:rFonts w:hint="default" w:ascii="Times New Roman" w:hAnsi="Times New Roman" w:cs="Times New Roman"/>
          <w:b w:val="0"/>
          <w:bCs w:val="0"/>
          <w:sz w:val="24"/>
          <w:szCs w:val="24"/>
          <w:lang w:val="en-GB"/>
        </w:rPr>
      </w:pPr>
      <w:r>
        <w:rPr>
          <w:rFonts w:hint="default" w:ascii="Times New Roman" w:hAnsi="Times New Roman" w:cs="Times New Roman"/>
          <w:b w:val="0"/>
          <w:bCs w:val="0"/>
          <w:sz w:val="24"/>
          <w:szCs w:val="24"/>
          <w:lang w:val="en-GB"/>
        </w:rPr>
        <w:t xml:space="preserve">Mucormycosis is a relatively uncommon opportunistic infection. It is a fulminant fungal infection that occurs most often in diabetic and immunocopromised individuals. A 57 year old male patient who had recovered from COVID pneumonia was diagnosed with sinonasal mucurmycosis with involvement of the mandible. The patient had a history of uncontrolled diabetes, hypertension and stroke.He was treated with sequestrectomy </w:t>
      </w:r>
      <w:r>
        <w:rPr>
          <w:rFonts w:hint="default" w:ascii="Times New Roman" w:hAnsi="Times New Roman" w:cs="Times New Roman"/>
          <w:b/>
          <w:bCs/>
          <w:sz w:val="24"/>
          <w:szCs w:val="24"/>
          <w:lang w:val="en-GB"/>
        </w:rPr>
        <w:t xml:space="preserve">+ </w:t>
      </w:r>
      <w:r>
        <w:rPr>
          <w:rFonts w:hint="default" w:ascii="Times New Roman" w:hAnsi="Times New Roman" w:cs="Times New Roman"/>
          <w:b w:val="0"/>
          <w:bCs w:val="0"/>
          <w:sz w:val="24"/>
          <w:szCs w:val="24"/>
          <w:lang w:val="en-GB"/>
        </w:rPr>
        <w:t xml:space="preserve">saucerization of the mandible and B/L FESS </w:t>
      </w:r>
      <w:r>
        <w:rPr>
          <w:rFonts w:hint="default" w:ascii="Times New Roman" w:hAnsi="Times New Roman" w:cs="Times New Roman"/>
          <w:b/>
          <w:bCs/>
          <w:sz w:val="24"/>
          <w:szCs w:val="24"/>
          <w:lang w:val="en-GB"/>
        </w:rPr>
        <w:t xml:space="preserve">+ </w:t>
      </w:r>
      <w:r>
        <w:rPr>
          <w:rFonts w:hint="default" w:ascii="Times New Roman" w:hAnsi="Times New Roman" w:cs="Times New Roman"/>
          <w:b w:val="0"/>
          <w:bCs w:val="0"/>
          <w:sz w:val="24"/>
          <w:szCs w:val="24"/>
          <w:lang w:val="en-GB"/>
        </w:rPr>
        <w:t xml:space="preserve">septoplasty under GA along with IV Amphotercin 1.5mg/kg and Inj Posaconazole 300mg for duration of 3weeks. The involvement of mandible sparing the maxilla was an interesting aspect of this case.   </w:t>
      </w:r>
    </w:p>
    <w:p>
      <w:pPr>
        <w:jc w:val="both"/>
        <w:rPr>
          <w:rFonts w:hint="default" w:ascii="Times New Roman" w:hAnsi="Times New Roman" w:cs="Times New Roman"/>
          <w:b w:val="0"/>
          <w:bCs w:val="0"/>
          <w:sz w:val="24"/>
          <w:szCs w:val="24"/>
          <w:lang w:val="en-GB"/>
        </w:rPr>
      </w:pPr>
    </w:p>
    <w:p>
      <w:pPr>
        <w:jc w:val="both"/>
        <w:rPr>
          <w:rFonts w:hint="default" w:ascii="Times New Roman" w:hAnsi="Times New Roman" w:cs="Times New Roman"/>
          <w:b/>
          <w:bCs/>
          <w:sz w:val="28"/>
          <w:szCs w:val="28"/>
          <w:lang w:val="en-GB"/>
        </w:rPr>
      </w:pPr>
      <w:r>
        <w:rPr>
          <w:rFonts w:hint="default" w:ascii="Times New Roman" w:hAnsi="Times New Roman" w:cs="Times New Roman"/>
          <w:b/>
          <w:bCs/>
          <w:sz w:val="28"/>
          <w:szCs w:val="28"/>
          <w:lang w:val="en-GB"/>
        </w:rPr>
        <w:t xml:space="preserve">KEYWORDS: </w:t>
      </w:r>
    </w:p>
    <w:p>
      <w:pPr>
        <w:jc w:val="both"/>
        <w:rPr>
          <w:rFonts w:hint="default" w:ascii="Times New Roman" w:hAnsi="Times New Roman" w:cs="Times New Roman"/>
          <w:b/>
          <w:bCs/>
          <w:sz w:val="28"/>
          <w:szCs w:val="28"/>
          <w:lang w:val="en-GB"/>
        </w:rPr>
      </w:pPr>
    </w:p>
    <w:p>
      <w:pPr>
        <w:jc w:val="both"/>
        <w:rPr>
          <w:rFonts w:hint="default" w:ascii="Times New Roman" w:hAnsi="Times New Roman" w:cs="Times New Roman"/>
          <w:b w:val="0"/>
          <w:bCs w:val="0"/>
          <w:sz w:val="24"/>
          <w:szCs w:val="24"/>
          <w:lang w:val="en-GB"/>
        </w:rPr>
      </w:pPr>
      <w:r>
        <w:rPr>
          <w:rFonts w:hint="default" w:ascii="Times New Roman" w:hAnsi="Times New Roman" w:cs="Times New Roman"/>
          <w:b w:val="0"/>
          <w:bCs w:val="0"/>
          <w:sz w:val="24"/>
          <w:szCs w:val="24"/>
          <w:lang w:val="en-GB"/>
        </w:rPr>
        <w:t>COVID-19,POSTCOVID,MANDIBLE,MUCORMYCOSIS</w:t>
      </w:r>
    </w:p>
    <w:p>
      <w:pPr>
        <w:jc w:val="both"/>
        <w:rPr>
          <w:rFonts w:hint="default" w:ascii="Times New Roman" w:hAnsi="Times New Roman" w:cs="Times New Roman"/>
          <w:b/>
          <w:bCs/>
          <w:sz w:val="28"/>
          <w:szCs w:val="28"/>
          <w:lang w:val="en-GB"/>
        </w:rPr>
      </w:pPr>
    </w:p>
    <w:p>
      <w:pPr>
        <w:jc w:val="both"/>
        <w:rPr>
          <w:rFonts w:hint="default" w:ascii="Times New Roman" w:hAnsi="Times New Roman" w:cs="Times New Roman"/>
          <w:b/>
          <w:bCs/>
          <w:sz w:val="28"/>
          <w:szCs w:val="28"/>
          <w:lang w:val="en-GB"/>
        </w:rPr>
      </w:pPr>
      <w:r>
        <w:rPr>
          <w:rFonts w:hint="default" w:ascii="Times New Roman" w:hAnsi="Times New Roman" w:cs="Times New Roman"/>
          <w:b/>
          <w:bCs/>
          <w:sz w:val="28"/>
          <w:szCs w:val="28"/>
          <w:lang w:val="en-GB"/>
        </w:rPr>
        <w:t>INTRODUCTION:</w:t>
      </w:r>
    </w:p>
    <w:p>
      <w:pPr>
        <w:jc w:val="both"/>
        <w:rPr>
          <w:rFonts w:hint="default" w:ascii="Times New Roman" w:hAnsi="Times New Roman" w:cs="Times New Roman"/>
          <w:b w:val="0"/>
          <w:bCs w:val="0"/>
          <w:sz w:val="24"/>
          <w:szCs w:val="24"/>
          <w:lang w:val="en-GB"/>
        </w:rPr>
      </w:pPr>
    </w:p>
    <w:p>
      <w:pPr>
        <w:jc w:val="both"/>
        <w:rPr>
          <w:rFonts w:hint="default" w:ascii="Times New Roman" w:hAnsi="Times New Roman" w:cs="Times New Roman"/>
          <w:b w:val="0"/>
          <w:bCs w:val="0"/>
          <w:sz w:val="24"/>
          <w:szCs w:val="24"/>
          <w:lang w:val="en-GB"/>
        </w:rPr>
      </w:pPr>
      <w:r>
        <w:rPr>
          <w:rFonts w:hint="default" w:ascii="Times New Roman" w:hAnsi="Times New Roman" w:cs="Times New Roman"/>
          <w:b w:val="0"/>
          <w:bCs w:val="0"/>
          <w:sz w:val="24"/>
          <w:szCs w:val="24"/>
          <w:lang w:val="en-GB"/>
        </w:rPr>
        <w:t>Mucormycosis is a relatively uncommon opportunistic infection.It is a fulminant fungal infection that occurs most often in diabetic and immunocopromised individuals. The COVID-19 associated mucormycosis has been reported globally. By 15</w:t>
      </w:r>
      <w:r>
        <w:rPr>
          <w:rFonts w:hint="default" w:ascii="Times New Roman" w:hAnsi="Times New Roman" w:cs="Times New Roman"/>
          <w:b w:val="0"/>
          <w:bCs w:val="0"/>
          <w:sz w:val="24"/>
          <w:szCs w:val="24"/>
          <w:vertAlign w:val="superscript"/>
          <w:lang w:val="en-GB"/>
        </w:rPr>
        <w:t>th</w:t>
      </w:r>
      <w:r>
        <w:rPr>
          <w:rFonts w:hint="default" w:ascii="Times New Roman" w:hAnsi="Times New Roman" w:cs="Times New Roman"/>
          <w:b w:val="0"/>
          <w:bCs w:val="0"/>
          <w:sz w:val="24"/>
          <w:szCs w:val="24"/>
          <w:lang w:val="en-GB"/>
        </w:rPr>
        <w:t xml:space="preserve"> july 2021,a total of 45,432 cases were reported. (Prakash and Chakrabarti,2021) in India. The estimated prevalence of mucormycosis was at alarming rate of nearly 70 times higher than the global data.</w:t>
      </w:r>
      <w:r>
        <w:rPr>
          <w:rFonts w:hint="default" w:ascii="Times New Roman" w:hAnsi="Times New Roman" w:cs="Times New Roman"/>
          <w:b w:val="0"/>
          <w:bCs w:val="0"/>
          <w:sz w:val="24"/>
          <w:szCs w:val="24"/>
          <w:vertAlign w:val="superscript"/>
          <w:lang w:val="en-GB"/>
        </w:rPr>
        <w:t>1</w:t>
      </w:r>
    </w:p>
    <w:p>
      <w:pPr>
        <w:jc w:val="both"/>
        <w:rPr>
          <w:rFonts w:hint="default" w:ascii="Times New Roman" w:hAnsi="Times New Roman" w:cs="Times New Roman"/>
          <w:b w:val="0"/>
          <w:bCs w:val="0"/>
          <w:sz w:val="24"/>
          <w:szCs w:val="24"/>
          <w:lang w:val="en-GB"/>
        </w:rPr>
      </w:pPr>
      <w:r>
        <w:rPr>
          <w:rFonts w:hint="default" w:ascii="Times New Roman" w:hAnsi="Times New Roman" w:cs="Times New Roman"/>
          <w:b w:val="0"/>
          <w:bCs w:val="0"/>
          <w:sz w:val="24"/>
          <w:szCs w:val="24"/>
          <w:lang w:val="en-GB"/>
        </w:rPr>
        <w:t>Based on anatomic localization Mucormycosis is classified as:</w:t>
      </w:r>
    </w:p>
    <w:p>
      <w:pPr>
        <w:numPr>
          <w:ilvl w:val="0"/>
          <w:numId w:val="0"/>
        </w:numPr>
        <w:jc w:val="both"/>
        <w:rPr>
          <w:rFonts w:hint="default" w:ascii="Times New Roman" w:hAnsi="Times New Roman" w:cs="Times New Roman"/>
          <w:b w:val="0"/>
          <w:bCs w:val="0"/>
          <w:sz w:val="24"/>
          <w:szCs w:val="24"/>
          <w:lang w:val="en-GB"/>
        </w:rPr>
      </w:pPr>
    </w:p>
    <w:p>
      <w:pPr>
        <w:numPr>
          <w:ilvl w:val="0"/>
          <w:numId w:val="1"/>
        </w:numPr>
        <w:ind w:left="420" w:leftChars="0" w:hanging="420" w:firstLineChars="0"/>
        <w:jc w:val="both"/>
        <w:rPr>
          <w:rFonts w:hint="default" w:ascii="Times New Roman" w:hAnsi="Times New Roman" w:cs="Times New Roman"/>
          <w:b w:val="0"/>
          <w:bCs w:val="0"/>
          <w:sz w:val="24"/>
          <w:szCs w:val="24"/>
          <w:lang w:val="en-GB"/>
        </w:rPr>
      </w:pPr>
      <w:r>
        <w:rPr>
          <w:rFonts w:hint="default" w:ascii="Times New Roman" w:hAnsi="Times New Roman" w:cs="Times New Roman"/>
          <w:b w:val="0"/>
          <w:bCs w:val="0"/>
          <w:sz w:val="24"/>
          <w:szCs w:val="24"/>
          <w:lang w:val="en-GB"/>
        </w:rPr>
        <w:t>Rhinocerebral mucormycosis</w:t>
      </w:r>
    </w:p>
    <w:p>
      <w:pPr>
        <w:numPr>
          <w:ilvl w:val="0"/>
          <w:numId w:val="1"/>
        </w:numPr>
        <w:ind w:left="420" w:leftChars="0" w:hanging="420" w:firstLineChars="0"/>
        <w:jc w:val="both"/>
        <w:rPr>
          <w:rFonts w:hint="default" w:ascii="Times New Roman" w:hAnsi="Times New Roman" w:cs="Times New Roman"/>
          <w:b w:val="0"/>
          <w:bCs w:val="0"/>
          <w:sz w:val="24"/>
          <w:szCs w:val="24"/>
          <w:lang w:val="en-GB"/>
        </w:rPr>
      </w:pPr>
      <w:r>
        <w:rPr>
          <w:rFonts w:hint="default" w:ascii="Times New Roman" w:hAnsi="Times New Roman" w:cs="Times New Roman"/>
          <w:b w:val="0"/>
          <w:bCs w:val="0"/>
          <w:sz w:val="24"/>
          <w:szCs w:val="24"/>
          <w:lang w:val="en-GB"/>
        </w:rPr>
        <w:t>Pulmonary mucormycosis</w:t>
      </w:r>
    </w:p>
    <w:p>
      <w:pPr>
        <w:numPr>
          <w:ilvl w:val="0"/>
          <w:numId w:val="1"/>
        </w:numPr>
        <w:ind w:left="420" w:leftChars="0" w:hanging="420" w:firstLineChars="0"/>
        <w:jc w:val="both"/>
        <w:rPr>
          <w:rFonts w:hint="default" w:ascii="Times New Roman" w:hAnsi="Times New Roman" w:cs="Times New Roman"/>
          <w:b w:val="0"/>
          <w:bCs w:val="0"/>
          <w:sz w:val="24"/>
          <w:szCs w:val="24"/>
          <w:lang w:val="en-GB"/>
        </w:rPr>
      </w:pPr>
      <w:r>
        <w:rPr>
          <w:rFonts w:hint="default" w:ascii="Times New Roman" w:hAnsi="Times New Roman" w:cs="Times New Roman"/>
          <w:b w:val="0"/>
          <w:bCs w:val="0"/>
          <w:sz w:val="24"/>
          <w:szCs w:val="24"/>
          <w:lang w:val="en-GB"/>
        </w:rPr>
        <w:t>Cutaneous mucormycosis</w:t>
      </w:r>
    </w:p>
    <w:p>
      <w:pPr>
        <w:numPr>
          <w:ilvl w:val="0"/>
          <w:numId w:val="1"/>
        </w:numPr>
        <w:ind w:left="420" w:leftChars="0" w:hanging="420" w:firstLineChars="0"/>
        <w:jc w:val="both"/>
        <w:rPr>
          <w:rFonts w:hint="default" w:ascii="Times New Roman" w:hAnsi="Times New Roman" w:cs="Times New Roman"/>
          <w:b w:val="0"/>
          <w:bCs w:val="0"/>
          <w:sz w:val="24"/>
          <w:szCs w:val="24"/>
          <w:lang w:val="en-GB"/>
        </w:rPr>
      </w:pPr>
      <w:r>
        <w:rPr>
          <w:rFonts w:hint="default" w:ascii="Times New Roman" w:hAnsi="Times New Roman" w:cs="Times New Roman"/>
          <w:b w:val="0"/>
          <w:bCs w:val="0"/>
          <w:sz w:val="24"/>
          <w:szCs w:val="24"/>
          <w:lang w:val="en-GB"/>
        </w:rPr>
        <w:t>Gastrointestinal mucormycosis</w:t>
      </w:r>
    </w:p>
    <w:p>
      <w:pPr>
        <w:numPr>
          <w:ilvl w:val="0"/>
          <w:numId w:val="1"/>
        </w:numPr>
        <w:ind w:left="420" w:leftChars="0" w:hanging="420" w:firstLineChars="0"/>
        <w:jc w:val="both"/>
        <w:rPr>
          <w:rFonts w:hint="default" w:ascii="Times New Roman" w:hAnsi="Times New Roman" w:cs="Times New Roman"/>
          <w:b w:val="0"/>
          <w:bCs w:val="0"/>
          <w:sz w:val="24"/>
          <w:szCs w:val="24"/>
          <w:lang w:val="en-GB"/>
        </w:rPr>
      </w:pPr>
      <w:r>
        <w:rPr>
          <w:rFonts w:hint="default" w:ascii="Times New Roman" w:hAnsi="Times New Roman" w:cs="Times New Roman"/>
          <w:b w:val="0"/>
          <w:bCs w:val="0"/>
          <w:sz w:val="24"/>
          <w:szCs w:val="24"/>
          <w:lang w:val="en-GB"/>
        </w:rPr>
        <w:t>Disseminated mucormycosis</w:t>
      </w:r>
    </w:p>
    <w:p>
      <w:pPr>
        <w:numPr>
          <w:ilvl w:val="0"/>
          <w:numId w:val="1"/>
        </w:numPr>
        <w:ind w:left="420" w:leftChars="0" w:hanging="420" w:firstLineChars="0"/>
        <w:jc w:val="both"/>
        <w:rPr>
          <w:rFonts w:hint="default" w:ascii="Times New Roman" w:hAnsi="Times New Roman" w:cs="Times New Roman"/>
          <w:b w:val="0"/>
          <w:bCs w:val="0"/>
          <w:sz w:val="24"/>
          <w:szCs w:val="24"/>
          <w:lang w:val="en-GB"/>
        </w:rPr>
      </w:pPr>
      <w:r>
        <w:rPr>
          <w:rFonts w:hint="default" w:ascii="Times New Roman" w:hAnsi="Times New Roman" w:cs="Times New Roman"/>
          <w:b w:val="0"/>
          <w:bCs w:val="0"/>
          <w:sz w:val="24"/>
          <w:szCs w:val="24"/>
          <w:lang w:val="en-GB"/>
        </w:rPr>
        <w:t>Uncommon.</w:t>
      </w:r>
    </w:p>
    <w:p>
      <w:pPr>
        <w:numPr>
          <w:ilvl w:val="0"/>
          <w:numId w:val="0"/>
        </w:numPr>
        <w:ind w:leftChars="0"/>
        <w:jc w:val="both"/>
        <w:rPr>
          <w:rFonts w:hint="default" w:ascii="Times New Roman" w:hAnsi="Times New Roman" w:cs="Times New Roman"/>
          <w:b w:val="0"/>
          <w:bCs w:val="0"/>
          <w:sz w:val="24"/>
          <w:szCs w:val="24"/>
          <w:lang w:val="en-GB"/>
        </w:rPr>
      </w:pPr>
    </w:p>
    <w:p>
      <w:pPr>
        <w:numPr>
          <w:ilvl w:val="0"/>
          <w:numId w:val="0"/>
        </w:numPr>
        <w:ind w:leftChars="0"/>
        <w:jc w:val="both"/>
        <w:rPr>
          <w:rFonts w:hint="default" w:ascii="Times New Roman" w:hAnsi="Times New Roman" w:cs="Times New Roman"/>
          <w:b w:val="0"/>
          <w:bCs w:val="0"/>
          <w:sz w:val="24"/>
          <w:szCs w:val="24"/>
          <w:lang w:val="en-GB"/>
        </w:rPr>
      </w:pPr>
      <w:r>
        <w:rPr>
          <w:rFonts w:hint="default" w:ascii="Times New Roman" w:hAnsi="Times New Roman" w:cs="Times New Roman"/>
          <w:b w:val="0"/>
          <w:bCs w:val="0"/>
          <w:sz w:val="24"/>
          <w:szCs w:val="24"/>
          <w:lang w:val="en-GB"/>
        </w:rPr>
        <w:t>Mucormycosis has a high mortality rate of 54% due to its angioinvasive nature.</w:t>
      </w:r>
    </w:p>
    <w:p>
      <w:pPr>
        <w:numPr>
          <w:ilvl w:val="0"/>
          <w:numId w:val="0"/>
        </w:numPr>
        <w:ind w:leftChars="0"/>
        <w:jc w:val="both"/>
        <w:rPr>
          <w:rFonts w:hint="default" w:ascii="Times New Roman" w:hAnsi="Times New Roman" w:cs="Times New Roman"/>
          <w:b w:val="0"/>
          <w:bCs w:val="0"/>
          <w:sz w:val="24"/>
          <w:szCs w:val="24"/>
          <w:lang w:val="en-GB"/>
        </w:rPr>
      </w:pPr>
      <w:r>
        <w:rPr>
          <w:rFonts w:hint="default" w:ascii="Times New Roman" w:hAnsi="Times New Roman" w:cs="Times New Roman"/>
          <w:b w:val="0"/>
          <w:bCs w:val="0"/>
          <w:sz w:val="24"/>
          <w:szCs w:val="24"/>
          <w:lang w:val="en-GB"/>
        </w:rPr>
        <w:t>Rhinocerebral mucormycosis is more common involving the maxillary region and accounts for around 88% of the cases,whereas mucormycosis of mandibular region is rare and only few cases have been reported till date.</w:t>
      </w:r>
      <w:r>
        <w:rPr>
          <w:rFonts w:hint="default" w:ascii="Times New Roman" w:hAnsi="Times New Roman" w:cs="Times New Roman"/>
          <w:b w:val="0"/>
          <w:bCs w:val="0"/>
          <w:sz w:val="24"/>
          <w:szCs w:val="24"/>
          <w:vertAlign w:val="superscript"/>
          <w:lang w:val="en-GB"/>
        </w:rPr>
        <w:t xml:space="preserve">2 </w:t>
      </w:r>
      <w:r>
        <w:rPr>
          <w:rFonts w:hint="default" w:ascii="Times New Roman" w:hAnsi="Times New Roman" w:cs="Times New Roman"/>
          <w:b w:val="0"/>
          <w:bCs w:val="0"/>
          <w:sz w:val="24"/>
          <w:szCs w:val="24"/>
          <w:lang w:val="en-GB"/>
        </w:rPr>
        <w:t>Here we present a rare case of mandibular mucormycosis sparing the maxilla.</w:t>
      </w:r>
    </w:p>
    <w:p>
      <w:pPr>
        <w:numPr>
          <w:ilvl w:val="0"/>
          <w:numId w:val="0"/>
        </w:numPr>
        <w:ind w:leftChars="0"/>
        <w:jc w:val="both"/>
        <w:rPr>
          <w:rFonts w:hint="default" w:ascii="Times New Roman" w:hAnsi="Times New Roman" w:cs="Times New Roman"/>
          <w:b w:val="0"/>
          <w:bCs w:val="0"/>
          <w:sz w:val="24"/>
          <w:szCs w:val="24"/>
          <w:lang w:val="en-GB"/>
        </w:rPr>
      </w:pPr>
    </w:p>
    <w:p>
      <w:pPr>
        <w:numPr>
          <w:ilvl w:val="0"/>
          <w:numId w:val="0"/>
        </w:numPr>
        <w:ind w:leftChars="0"/>
        <w:jc w:val="both"/>
        <w:rPr>
          <w:rFonts w:hint="default" w:ascii="Times New Roman" w:hAnsi="Times New Roman" w:cs="Times New Roman"/>
          <w:b/>
          <w:bCs/>
          <w:sz w:val="28"/>
          <w:szCs w:val="28"/>
          <w:lang w:val="en-GB"/>
        </w:rPr>
      </w:pPr>
    </w:p>
    <w:p>
      <w:pPr>
        <w:numPr>
          <w:ilvl w:val="0"/>
          <w:numId w:val="0"/>
        </w:numPr>
        <w:ind w:leftChars="0"/>
        <w:jc w:val="both"/>
        <w:rPr>
          <w:rFonts w:hint="default" w:ascii="Times New Roman" w:hAnsi="Times New Roman" w:cs="Times New Roman"/>
          <w:b/>
          <w:bCs/>
          <w:sz w:val="28"/>
          <w:szCs w:val="28"/>
          <w:lang w:val="en-GB"/>
        </w:rPr>
      </w:pPr>
    </w:p>
    <w:p>
      <w:pPr>
        <w:numPr>
          <w:ilvl w:val="0"/>
          <w:numId w:val="0"/>
        </w:numPr>
        <w:ind w:leftChars="0"/>
        <w:jc w:val="both"/>
        <w:rPr>
          <w:rFonts w:hint="default" w:ascii="Times New Roman" w:hAnsi="Times New Roman" w:cs="Times New Roman"/>
          <w:b/>
          <w:bCs/>
          <w:sz w:val="28"/>
          <w:szCs w:val="28"/>
          <w:lang w:val="en-GB"/>
        </w:rPr>
      </w:pPr>
    </w:p>
    <w:p>
      <w:pPr>
        <w:numPr>
          <w:ilvl w:val="0"/>
          <w:numId w:val="0"/>
        </w:numPr>
        <w:ind w:leftChars="0"/>
        <w:jc w:val="both"/>
        <w:rPr>
          <w:rFonts w:hint="default" w:ascii="Times New Roman" w:hAnsi="Times New Roman" w:cs="Times New Roman"/>
          <w:b/>
          <w:bCs/>
          <w:sz w:val="28"/>
          <w:szCs w:val="28"/>
          <w:lang w:val="en-GB"/>
        </w:rPr>
      </w:pPr>
    </w:p>
    <w:p>
      <w:pPr>
        <w:numPr>
          <w:ilvl w:val="0"/>
          <w:numId w:val="0"/>
        </w:numPr>
        <w:ind w:leftChars="0"/>
        <w:jc w:val="both"/>
        <w:rPr>
          <w:rFonts w:hint="default" w:ascii="Times New Roman" w:hAnsi="Times New Roman" w:cs="Times New Roman"/>
          <w:b/>
          <w:bCs/>
          <w:sz w:val="28"/>
          <w:szCs w:val="28"/>
          <w:lang w:val="en-GB"/>
        </w:rPr>
      </w:pPr>
    </w:p>
    <w:p>
      <w:pPr>
        <w:numPr>
          <w:ilvl w:val="0"/>
          <w:numId w:val="0"/>
        </w:numPr>
        <w:ind w:leftChars="0"/>
        <w:jc w:val="both"/>
        <w:rPr>
          <w:rFonts w:hint="default" w:ascii="Times New Roman" w:hAnsi="Times New Roman" w:cs="Times New Roman"/>
          <w:b/>
          <w:bCs/>
          <w:sz w:val="28"/>
          <w:szCs w:val="28"/>
          <w:lang w:val="en-GB"/>
        </w:rPr>
      </w:pPr>
      <w:r>
        <w:rPr>
          <w:rFonts w:hint="default" w:ascii="Times New Roman" w:hAnsi="Times New Roman" w:cs="Times New Roman"/>
          <w:b/>
          <w:bCs/>
          <w:sz w:val="28"/>
          <w:szCs w:val="28"/>
          <w:lang w:val="en-GB"/>
        </w:rPr>
        <w:t>CASE REPORT:</w:t>
      </w:r>
    </w:p>
    <w:p>
      <w:pPr>
        <w:numPr>
          <w:ilvl w:val="0"/>
          <w:numId w:val="0"/>
        </w:numPr>
        <w:ind w:leftChars="0"/>
        <w:jc w:val="both"/>
        <w:rPr>
          <w:rFonts w:hint="default" w:ascii="Times New Roman" w:hAnsi="Times New Roman" w:cs="Times New Roman"/>
          <w:b/>
          <w:bCs/>
          <w:sz w:val="28"/>
          <w:szCs w:val="28"/>
          <w:lang w:val="en-GB"/>
        </w:rPr>
      </w:pPr>
    </w:p>
    <w:p>
      <w:pPr>
        <w:numPr>
          <w:ilvl w:val="0"/>
          <w:numId w:val="0"/>
        </w:numPr>
        <w:ind w:leftChars="0" w:firstLine="480" w:firstLineChars="200"/>
        <w:jc w:val="both"/>
        <w:rPr>
          <w:rFonts w:hint="default" w:ascii="Times New Roman" w:hAnsi="Times New Roman" w:cs="Times New Roman"/>
          <w:b w:val="0"/>
          <w:bCs w:val="0"/>
          <w:sz w:val="24"/>
          <w:szCs w:val="24"/>
          <w:lang w:val="en-GB"/>
        </w:rPr>
      </w:pPr>
      <w:r>
        <w:rPr>
          <w:rFonts w:hint="default" w:ascii="Times New Roman" w:hAnsi="Times New Roman" w:cs="Times New Roman"/>
          <w:b w:val="0"/>
          <w:bCs w:val="0"/>
          <w:sz w:val="24"/>
          <w:szCs w:val="24"/>
          <w:lang w:val="en-GB"/>
        </w:rPr>
        <w:t>A 57 yrs old male patient recovered from COVID pneumonia reported to our department with chief complaint of pain in lower right and left back tooth region since 20 days.</w:t>
      </w:r>
    </w:p>
    <w:p>
      <w:pPr>
        <w:numPr>
          <w:ilvl w:val="0"/>
          <w:numId w:val="0"/>
        </w:numPr>
        <w:ind w:leftChars="0" w:firstLine="480" w:firstLineChars="200"/>
        <w:jc w:val="both"/>
        <w:rPr>
          <w:rFonts w:hint="default" w:ascii="Times New Roman" w:hAnsi="Times New Roman"/>
          <w:b w:val="0"/>
          <w:bCs w:val="0"/>
          <w:sz w:val="24"/>
          <w:szCs w:val="24"/>
          <w:lang w:val="en-GB"/>
        </w:rPr>
      </w:pPr>
      <w:r>
        <w:rPr>
          <w:rFonts w:hint="default" w:ascii="Times New Roman" w:hAnsi="Times New Roman" w:cs="Times New Roman"/>
          <w:b w:val="0"/>
          <w:bCs w:val="0"/>
          <w:sz w:val="24"/>
          <w:szCs w:val="24"/>
          <w:lang w:val="en-GB"/>
        </w:rPr>
        <w:t>His past medical history included diabetes, hypertension and stroke. During COVID treatment he was on oxygen 1lt/per minute for 15days,</w:t>
      </w:r>
      <w:r>
        <w:rPr>
          <w:rFonts w:hint="default" w:ascii="Times New Roman" w:hAnsi="Times New Roman"/>
          <w:b w:val="0"/>
          <w:bCs w:val="0"/>
          <w:sz w:val="24"/>
          <w:szCs w:val="24"/>
          <w:lang w:val="en-GB"/>
        </w:rPr>
        <w:t>inj-Ptptaz (piperacillin/tazobactam) 4.5gm, inj-Remidesvir 200 on day 1 followed by 100 for 4 days, inj-Dexona(dexamethasone)8mg,tab Dabigatran110mg twice daily for 5days,tab Predmet(methylprednisolone) 8mg once daily for 5 days,tab Vit.C 500mg thrice daily &amp; tab Zinc 50mg once daily for 2 weeks.</w:t>
      </w:r>
    </w:p>
    <w:p>
      <w:pPr>
        <w:numPr>
          <w:ilvl w:val="0"/>
          <w:numId w:val="0"/>
        </w:numPr>
        <w:ind w:leftChars="0" w:firstLine="480" w:firstLineChars="200"/>
        <w:jc w:val="both"/>
        <w:rPr>
          <w:rFonts w:hint="default" w:ascii="Times New Roman" w:hAnsi="Times New Roman" w:cs="Times New Roman"/>
          <w:b w:val="0"/>
          <w:bCs w:val="0"/>
          <w:sz w:val="24"/>
          <w:szCs w:val="24"/>
          <w:lang w:val="en-GB"/>
        </w:rPr>
      </w:pPr>
    </w:p>
    <w:p>
      <w:pPr>
        <w:numPr>
          <w:ilvl w:val="0"/>
          <w:numId w:val="0"/>
        </w:numPr>
        <w:ind w:leftChars="0" w:firstLine="480" w:firstLineChars="200"/>
        <w:jc w:val="both"/>
        <w:rPr>
          <w:rFonts w:hint="default" w:ascii="Times New Roman" w:hAnsi="Times New Roman" w:cs="Times New Roman"/>
          <w:b w:val="0"/>
          <w:bCs w:val="0"/>
          <w:sz w:val="24"/>
          <w:szCs w:val="24"/>
          <w:lang w:val="en-GB"/>
        </w:rPr>
      </w:pPr>
      <w:r>
        <w:rPr>
          <w:rFonts w:hint="default" w:ascii="Times New Roman" w:hAnsi="Times New Roman" w:cs="Times New Roman"/>
          <w:b w:val="0"/>
          <w:bCs w:val="0"/>
          <w:sz w:val="24"/>
          <w:szCs w:val="24"/>
          <w:lang w:val="en-GB"/>
        </w:rPr>
        <w:t>After 3months of recovery from COVID with pneumonia he developed pain in the lower jaw for about 20 days. The pain was sudden in onset,intermittent severe &amp; throbing in nature which lasted for 2 hrs and radiated to head and neck region. Pain was relieved on medication.</w:t>
      </w:r>
    </w:p>
    <w:p>
      <w:pPr>
        <w:numPr>
          <w:ilvl w:val="0"/>
          <w:numId w:val="0"/>
        </w:numPr>
        <w:ind w:leftChars="0"/>
        <w:jc w:val="both"/>
        <w:rPr>
          <w:rFonts w:hint="default" w:ascii="Times New Roman" w:hAnsi="Times New Roman" w:cs="Times New Roman"/>
          <w:b w:val="0"/>
          <w:bCs w:val="0"/>
          <w:sz w:val="24"/>
          <w:szCs w:val="24"/>
          <w:lang w:val="en-GB"/>
        </w:rPr>
      </w:pPr>
      <w:r>
        <w:rPr>
          <w:rFonts w:hint="default" w:ascii="Times New Roman" w:hAnsi="Times New Roman" w:cs="Times New Roman"/>
          <w:b w:val="0"/>
          <w:bCs w:val="0"/>
          <w:sz w:val="24"/>
          <w:szCs w:val="24"/>
          <w:lang w:val="en-GB"/>
        </w:rPr>
        <w:t>On general physical examination the patient was found to be heavily built with normal gait. His random blood sugar was reported to be 157 mg/dl,his blood pressure was 120/76 mmHg.</w:t>
      </w:r>
    </w:p>
    <w:p>
      <w:pPr>
        <w:numPr>
          <w:ilvl w:val="0"/>
          <w:numId w:val="0"/>
        </w:numPr>
        <w:ind w:leftChars="0"/>
        <w:jc w:val="both"/>
        <w:rPr>
          <w:rFonts w:hint="default" w:ascii="Times New Roman" w:hAnsi="Times New Roman" w:cs="Times New Roman"/>
          <w:b w:val="0"/>
          <w:bCs w:val="0"/>
          <w:sz w:val="24"/>
          <w:szCs w:val="24"/>
          <w:lang w:val="en-GB"/>
        </w:rPr>
      </w:pPr>
      <w:r>
        <w:rPr>
          <w:rFonts w:hint="default" w:ascii="Times New Roman" w:hAnsi="Times New Roman" w:cs="Times New Roman"/>
          <w:b w:val="0"/>
          <w:bCs w:val="0"/>
          <w:sz w:val="24"/>
          <w:szCs w:val="24"/>
          <w:lang w:val="en-GB"/>
        </w:rPr>
        <w:t>On extraoral examination bilateral submandibular lymph nodes were palpable and tender.</w:t>
      </w:r>
    </w:p>
    <w:p>
      <w:pPr>
        <w:numPr>
          <w:ilvl w:val="0"/>
          <w:numId w:val="0"/>
        </w:numPr>
        <w:ind w:leftChars="0"/>
        <w:jc w:val="both"/>
        <w:rPr>
          <w:rFonts w:hint="default" w:ascii="Times New Roman" w:hAnsi="Times New Roman" w:cs="Times New Roman"/>
          <w:b w:val="0"/>
          <w:bCs w:val="0"/>
          <w:sz w:val="24"/>
          <w:szCs w:val="24"/>
          <w:lang w:val="en-GB"/>
        </w:rPr>
      </w:pPr>
    </w:p>
    <w:p>
      <w:pPr>
        <w:numPr>
          <w:ilvl w:val="0"/>
          <w:numId w:val="0"/>
        </w:numPr>
        <w:ind w:leftChars="0"/>
        <w:jc w:val="both"/>
        <w:rPr>
          <w:rFonts w:hint="default" w:ascii="Times New Roman" w:hAnsi="Times New Roman" w:cs="Times New Roman"/>
          <w:b w:val="0"/>
          <w:bCs w:val="0"/>
          <w:sz w:val="24"/>
          <w:szCs w:val="24"/>
          <w:lang w:val="en-GB"/>
        </w:rPr>
      </w:pPr>
    </w:p>
    <w:p>
      <w:pPr>
        <w:numPr>
          <w:ilvl w:val="0"/>
          <w:numId w:val="0"/>
        </w:numPr>
        <w:ind w:leftChars="0"/>
        <w:jc w:val="both"/>
        <w:rPr>
          <w:rFonts w:hint="default" w:ascii="Times New Roman" w:hAnsi="Times New Roman" w:cs="Times New Roman"/>
          <w:b w:val="0"/>
          <w:bCs w:val="0"/>
          <w:sz w:val="24"/>
          <w:szCs w:val="24"/>
          <w:lang w:val="en-GB"/>
        </w:rPr>
      </w:pPr>
      <w:r>
        <w:drawing>
          <wp:inline distT="0" distB="0" distL="114300" distR="114300">
            <wp:extent cx="4006215" cy="2621915"/>
            <wp:effectExtent l="0" t="0" r="6985" b="6985"/>
            <wp:docPr id="4" name="Content Placeholder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ChangeAspect="1"/>
                    </pic:cNvPicPr>
                  </pic:nvPicPr>
                  <pic:blipFill>
                    <a:blip r:embed="rId4"/>
                    <a:srcRect t="25000" b="18346"/>
                    <a:stretch>
                      <a:fillRect/>
                    </a:stretch>
                  </pic:blipFill>
                  <pic:spPr>
                    <a:xfrm>
                      <a:off x="0" y="0"/>
                      <a:ext cx="4006215" cy="2621915"/>
                    </a:xfrm>
                    <a:prstGeom prst="rect">
                      <a:avLst/>
                    </a:prstGeom>
                    <a:noFill/>
                    <a:ln w="9525">
                      <a:noFill/>
                    </a:ln>
                  </pic:spPr>
                </pic:pic>
              </a:graphicData>
            </a:graphic>
          </wp:inline>
        </w:drawing>
      </w:r>
    </w:p>
    <w:p>
      <w:pPr>
        <w:numPr>
          <w:ilvl w:val="0"/>
          <w:numId w:val="0"/>
        </w:numPr>
        <w:ind w:leftChars="0"/>
        <w:jc w:val="both"/>
        <w:rPr>
          <w:rFonts w:hint="default" w:ascii="Times New Roman" w:hAnsi="Times New Roman" w:cs="Times New Roman"/>
          <w:b w:val="0"/>
          <w:bCs w:val="0"/>
          <w:sz w:val="24"/>
          <w:szCs w:val="24"/>
          <w:lang w:val="en-GB"/>
        </w:rPr>
      </w:pPr>
    </w:p>
    <w:p>
      <w:pPr>
        <w:numPr>
          <w:ilvl w:val="0"/>
          <w:numId w:val="0"/>
        </w:numPr>
        <w:ind w:leftChars="0"/>
        <w:jc w:val="both"/>
        <w:rPr>
          <w:rFonts w:hint="default" w:ascii="Times New Roman" w:hAnsi="Times New Roman" w:cs="Times New Roman"/>
          <w:b w:val="0"/>
          <w:bCs w:val="0"/>
          <w:sz w:val="24"/>
          <w:szCs w:val="24"/>
          <w:lang w:val="en-GB"/>
        </w:rPr>
      </w:pPr>
      <w:r>
        <w:rPr>
          <w:rFonts w:hint="default" w:ascii="Times New Roman" w:hAnsi="Times New Roman" w:cs="Times New Roman"/>
          <w:b w:val="0"/>
          <w:bCs w:val="0"/>
          <w:sz w:val="24"/>
          <w:szCs w:val="24"/>
          <w:lang w:val="en-GB"/>
        </w:rPr>
        <w:t>Fig 1: showing multiple sinus opening in the attached gingiva of mandible</w:t>
      </w:r>
    </w:p>
    <w:p>
      <w:pPr>
        <w:numPr>
          <w:ilvl w:val="0"/>
          <w:numId w:val="0"/>
        </w:numPr>
        <w:ind w:leftChars="0"/>
        <w:jc w:val="both"/>
        <w:rPr>
          <w:rFonts w:hint="default" w:ascii="Times New Roman" w:hAnsi="Times New Roman" w:cs="Times New Roman"/>
          <w:b w:val="0"/>
          <w:bCs w:val="0"/>
          <w:sz w:val="24"/>
          <w:szCs w:val="24"/>
          <w:lang w:val="en-GB"/>
        </w:rPr>
      </w:pPr>
    </w:p>
    <w:p>
      <w:pPr>
        <w:numPr>
          <w:ilvl w:val="0"/>
          <w:numId w:val="0"/>
        </w:numPr>
        <w:ind w:leftChars="0"/>
        <w:jc w:val="both"/>
        <w:rPr>
          <w:rFonts w:hint="default" w:ascii="Times New Roman" w:hAnsi="Times New Roman" w:cs="Times New Roman"/>
          <w:b w:val="0"/>
          <w:bCs w:val="0"/>
          <w:sz w:val="24"/>
          <w:szCs w:val="24"/>
          <w:lang w:val="en-GB"/>
        </w:rPr>
      </w:pPr>
    </w:p>
    <w:p>
      <w:pPr>
        <w:numPr>
          <w:ilvl w:val="0"/>
          <w:numId w:val="0"/>
        </w:numPr>
        <w:ind w:leftChars="0"/>
        <w:jc w:val="both"/>
        <w:rPr>
          <w:rFonts w:hint="default" w:ascii="Times New Roman" w:hAnsi="Times New Roman" w:cs="Times New Roman"/>
          <w:b w:val="0"/>
          <w:bCs w:val="0"/>
          <w:sz w:val="24"/>
          <w:szCs w:val="24"/>
          <w:lang w:val="en-GB"/>
        </w:rPr>
      </w:pPr>
      <w:r>
        <w:rPr>
          <w:rFonts w:hint="default" w:ascii="Times New Roman" w:hAnsi="Times New Roman" w:cs="Times New Roman"/>
          <w:b w:val="0"/>
          <w:bCs w:val="0"/>
          <w:sz w:val="24"/>
          <w:szCs w:val="24"/>
          <w:lang w:val="en-GB"/>
        </w:rPr>
        <w:t xml:space="preserve">The maxillary gingiva appeared normal on inspection &amp; cervical abrasions were noted on the posterior teeth. In the mandibular region the attached gingiva appeared boggy with multiple sinus openings. On palpation the mandibular attached gingiva was pebbly and pus discharge was present from the multiple sinus openings. All the teeth were mobile and segmental mobility was noticed. </w:t>
      </w:r>
    </w:p>
    <w:p>
      <w:pPr>
        <w:numPr>
          <w:ilvl w:val="0"/>
          <w:numId w:val="0"/>
        </w:numPr>
        <w:ind w:leftChars="0"/>
        <w:jc w:val="both"/>
        <w:rPr>
          <w:rFonts w:hint="default" w:ascii="Times New Roman" w:hAnsi="Times New Roman" w:cs="Times New Roman"/>
          <w:b w:val="0"/>
          <w:bCs w:val="0"/>
          <w:sz w:val="24"/>
          <w:szCs w:val="24"/>
          <w:lang w:val="en-GB"/>
        </w:rPr>
      </w:pPr>
    </w:p>
    <w:p>
      <w:pPr>
        <w:numPr>
          <w:ilvl w:val="0"/>
          <w:numId w:val="0"/>
        </w:numPr>
        <w:ind w:left="120" w:leftChars="0" w:hanging="120" w:hangingChars="50"/>
        <w:jc w:val="both"/>
        <w:rPr>
          <w:rFonts w:hint="default" w:ascii="Times New Roman" w:hAnsi="Times New Roman" w:cs="Times New Roman"/>
          <w:b w:val="0"/>
          <w:bCs w:val="0"/>
          <w:sz w:val="24"/>
          <w:szCs w:val="24"/>
          <w:lang w:val="en-GB"/>
        </w:rPr>
      </w:pPr>
    </w:p>
    <w:p>
      <w:pPr>
        <w:numPr>
          <w:ilvl w:val="0"/>
          <w:numId w:val="0"/>
        </w:numPr>
        <w:ind w:left="120" w:leftChars="0" w:hanging="120" w:hangingChars="50"/>
        <w:jc w:val="both"/>
        <w:rPr>
          <w:rFonts w:hint="default" w:ascii="Times New Roman" w:hAnsi="Times New Roman" w:cs="Times New Roman"/>
          <w:b w:val="0"/>
          <w:bCs w:val="0"/>
          <w:sz w:val="24"/>
          <w:szCs w:val="24"/>
          <w:lang w:val="en-GB"/>
        </w:rPr>
      </w:pPr>
    </w:p>
    <w:p>
      <w:pPr>
        <w:numPr>
          <w:ilvl w:val="0"/>
          <w:numId w:val="0"/>
        </w:numPr>
        <w:ind w:left="120" w:leftChars="0" w:hanging="120" w:hangingChars="50"/>
        <w:jc w:val="both"/>
        <w:rPr>
          <w:rFonts w:hint="default" w:ascii="Times New Roman" w:hAnsi="Times New Roman" w:cs="Times New Roman"/>
          <w:b w:val="0"/>
          <w:bCs w:val="0"/>
          <w:sz w:val="24"/>
          <w:szCs w:val="24"/>
          <w:lang w:val="en-GB"/>
        </w:rPr>
      </w:pPr>
      <w:r>
        <w:rPr>
          <w:rFonts w:hint="default" w:ascii="Times New Roman" w:hAnsi="Times New Roman" w:cs="Times New Roman"/>
          <w:b w:val="0"/>
          <w:bCs w:val="0"/>
          <w:sz w:val="24"/>
          <w:szCs w:val="24"/>
          <w:lang w:val="en-GB"/>
        </w:rPr>
        <w:t>Since the patient had history of COVID &amp; was treated with oxygen and remidesvir</w:t>
      </w:r>
    </w:p>
    <w:p>
      <w:pPr>
        <w:numPr>
          <w:ilvl w:val="0"/>
          <w:numId w:val="0"/>
        </w:numPr>
        <w:ind w:left="120" w:leftChars="0" w:hanging="120" w:hangingChars="50"/>
        <w:jc w:val="both"/>
        <w:rPr>
          <w:rFonts w:hint="default" w:ascii="Times New Roman" w:hAnsi="Times New Roman" w:cs="Times New Roman"/>
          <w:b w:val="0"/>
          <w:bCs w:val="0"/>
          <w:sz w:val="24"/>
          <w:szCs w:val="24"/>
          <w:lang w:val="en-GB"/>
        </w:rPr>
      </w:pPr>
      <w:r>
        <w:rPr>
          <w:rFonts w:hint="default" w:ascii="Times New Roman" w:hAnsi="Times New Roman" w:cs="Times New Roman"/>
          <w:b w:val="0"/>
          <w:bCs w:val="0"/>
          <w:sz w:val="24"/>
          <w:szCs w:val="24"/>
          <w:lang w:val="en-GB"/>
        </w:rPr>
        <w:t>a provisional diagnosis of mucormycosis was considered with differential diagnosis</w:t>
      </w:r>
    </w:p>
    <w:p>
      <w:pPr>
        <w:numPr>
          <w:ilvl w:val="0"/>
          <w:numId w:val="0"/>
        </w:numPr>
        <w:ind w:left="120" w:leftChars="0" w:hanging="120" w:hangingChars="50"/>
        <w:jc w:val="both"/>
        <w:rPr>
          <w:rFonts w:hint="default" w:ascii="Times New Roman" w:hAnsi="Times New Roman" w:cs="Times New Roman"/>
          <w:b w:val="0"/>
          <w:bCs w:val="0"/>
          <w:sz w:val="24"/>
          <w:szCs w:val="24"/>
          <w:lang w:val="en-GB"/>
        </w:rPr>
      </w:pPr>
      <w:r>
        <w:rPr>
          <w:rFonts w:hint="default" w:ascii="Times New Roman" w:hAnsi="Times New Roman" w:cs="Times New Roman"/>
          <w:b w:val="0"/>
          <w:bCs w:val="0"/>
          <w:sz w:val="24"/>
          <w:szCs w:val="24"/>
          <w:lang w:val="en-GB"/>
        </w:rPr>
        <w:t>of mandibular osteomyelitis and multiple periodontal abscess.</w:t>
      </w:r>
    </w:p>
    <w:p>
      <w:pPr>
        <w:numPr>
          <w:ilvl w:val="0"/>
          <w:numId w:val="0"/>
        </w:numPr>
        <w:ind w:leftChars="0"/>
        <w:jc w:val="both"/>
        <w:rPr>
          <w:rFonts w:hint="default" w:ascii="Times New Roman" w:hAnsi="Times New Roman" w:cs="Times New Roman"/>
          <w:b w:val="0"/>
          <w:bCs w:val="0"/>
          <w:sz w:val="24"/>
          <w:szCs w:val="24"/>
          <w:lang w:val="en-GB"/>
        </w:rPr>
      </w:pPr>
    </w:p>
    <w:p>
      <w:pPr>
        <w:numPr>
          <w:ilvl w:val="0"/>
          <w:numId w:val="0"/>
        </w:numPr>
        <w:ind w:leftChars="0"/>
        <w:jc w:val="both"/>
        <w:rPr>
          <w:rFonts w:hint="default" w:ascii="Times New Roman" w:hAnsi="Times New Roman" w:cs="Times New Roman"/>
          <w:b w:val="0"/>
          <w:bCs w:val="0"/>
          <w:sz w:val="24"/>
          <w:szCs w:val="24"/>
          <w:lang w:val="en-GB"/>
        </w:rPr>
      </w:pPr>
    </w:p>
    <w:p>
      <w:pPr>
        <w:numPr>
          <w:ilvl w:val="0"/>
          <w:numId w:val="0"/>
        </w:numPr>
        <w:ind w:leftChars="0"/>
        <w:jc w:val="both"/>
        <w:rPr>
          <w:rFonts w:hint="default" w:ascii="Times New Roman" w:hAnsi="Times New Roman" w:cs="Times New Roman"/>
          <w:b w:val="0"/>
          <w:bCs w:val="0"/>
          <w:sz w:val="24"/>
          <w:szCs w:val="24"/>
          <w:lang w:val="en-GB"/>
        </w:rPr>
      </w:pPr>
      <w:r>
        <w:rPr>
          <w:rFonts w:hint="default" w:ascii="Times New Roman" w:hAnsi="Times New Roman" w:cs="Times New Roman"/>
          <w:b w:val="0"/>
          <w:bCs w:val="0"/>
          <w:sz w:val="24"/>
          <w:szCs w:val="24"/>
          <w:lang w:val="en-GB"/>
        </w:rPr>
        <w:t>On investigation his FBS was 117mg/dl,PPBS-314mg/dl, CRP- 67.96mg/l &amp; D-Dimer- 243 and rest of the hematology report was normal.</w:t>
      </w:r>
    </w:p>
    <w:p>
      <w:pPr>
        <w:numPr>
          <w:ilvl w:val="0"/>
          <w:numId w:val="0"/>
        </w:numPr>
        <w:ind w:leftChars="0"/>
        <w:jc w:val="both"/>
        <w:rPr>
          <w:rFonts w:hint="default" w:ascii="Times New Roman" w:hAnsi="Times New Roman" w:cs="Times New Roman"/>
          <w:b w:val="0"/>
          <w:bCs w:val="0"/>
          <w:sz w:val="24"/>
          <w:szCs w:val="24"/>
          <w:lang w:val="en-GB"/>
        </w:rPr>
      </w:pPr>
      <w:r>
        <w:rPr>
          <w:rFonts w:hint="default" w:ascii="Times New Roman" w:hAnsi="Times New Roman" w:cs="Times New Roman"/>
          <w:b w:val="0"/>
          <w:bCs w:val="0"/>
          <w:sz w:val="24"/>
          <w:szCs w:val="24"/>
          <w:lang w:val="en-GB"/>
        </w:rPr>
        <w:t>Mycology,bacteriology culture report &amp; Fungal culture report was negative,normal commensals &amp; No growth respectively.</w:t>
      </w:r>
    </w:p>
    <w:p>
      <w:pPr>
        <w:numPr>
          <w:ilvl w:val="0"/>
          <w:numId w:val="0"/>
        </w:numPr>
        <w:ind w:leftChars="0"/>
        <w:jc w:val="both"/>
        <w:rPr>
          <w:rFonts w:hint="default" w:ascii="Times New Roman" w:hAnsi="Times New Roman" w:cs="Times New Roman"/>
          <w:b w:val="0"/>
          <w:bCs w:val="0"/>
          <w:sz w:val="24"/>
          <w:szCs w:val="24"/>
          <w:lang w:val="en-GB"/>
        </w:rPr>
      </w:pPr>
    </w:p>
    <w:p>
      <w:pPr>
        <w:numPr>
          <w:ilvl w:val="0"/>
          <w:numId w:val="0"/>
        </w:numPr>
        <w:ind w:leftChars="0"/>
        <w:jc w:val="both"/>
        <w:rPr>
          <w:rFonts w:hint="default" w:ascii="Times New Roman" w:hAnsi="Times New Roman" w:cs="Times New Roman"/>
          <w:b w:val="0"/>
          <w:bCs w:val="0"/>
          <w:sz w:val="24"/>
          <w:szCs w:val="24"/>
          <w:lang w:val="en-GB"/>
        </w:rPr>
      </w:pPr>
    </w:p>
    <w:p>
      <w:pPr>
        <w:numPr>
          <w:ilvl w:val="0"/>
          <w:numId w:val="0"/>
        </w:numPr>
        <w:ind w:leftChars="0"/>
        <w:jc w:val="both"/>
        <w:rPr>
          <w:rFonts w:hint="default" w:ascii="Times New Roman" w:hAnsi="Times New Roman" w:cs="Times New Roman"/>
          <w:b w:val="0"/>
          <w:bCs w:val="0"/>
          <w:sz w:val="24"/>
          <w:szCs w:val="24"/>
          <w:lang w:val="en-GB"/>
        </w:rPr>
      </w:pPr>
      <w:r>
        <w:rPr>
          <w:rFonts w:hint="default" w:ascii="Times New Roman" w:hAnsi="Times New Roman" w:cs="Times New Roman"/>
          <w:b w:val="0"/>
          <w:bCs w:val="0"/>
          <w:sz w:val="24"/>
          <w:szCs w:val="24"/>
          <w:lang w:val="en-GB"/>
        </w:rPr>
        <w:drawing>
          <wp:inline distT="0" distB="0" distL="114300" distR="114300">
            <wp:extent cx="4536440" cy="2223135"/>
            <wp:effectExtent l="0" t="0" r="10160" b="12065"/>
            <wp:docPr id="1" name="Picture 1" descr="1626566938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1626566938302"/>
                    <pic:cNvPicPr>
                      <a:picLocks noChangeAspect="1"/>
                    </pic:cNvPicPr>
                  </pic:nvPicPr>
                  <pic:blipFill>
                    <a:blip r:embed="rId5"/>
                    <a:srcRect l="4943" t="22665" r="8922" b="21058"/>
                    <a:stretch>
                      <a:fillRect/>
                    </a:stretch>
                  </pic:blipFill>
                  <pic:spPr>
                    <a:xfrm>
                      <a:off x="0" y="0"/>
                      <a:ext cx="4536440" cy="2223135"/>
                    </a:xfrm>
                    <a:prstGeom prst="rect">
                      <a:avLst/>
                    </a:prstGeom>
                  </pic:spPr>
                </pic:pic>
              </a:graphicData>
            </a:graphic>
          </wp:inline>
        </w:drawing>
      </w:r>
    </w:p>
    <w:p>
      <w:pPr>
        <w:numPr>
          <w:ilvl w:val="0"/>
          <w:numId w:val="0"/>
        </w:numPr>
        <w:ind w:leftChars="0"/>
        <w:jc w:val="both"/>
        <w:rPr>
          <w:rFonts w:hint="default" w:ascii="Times New Roman" w:hAnsi="Times New Roman" w:cs="Times New Roman"/>
          <w:b w:val="0"/>
          <w:bCs w:val="0"/>
          <w:sz w:val="24"/>
          <w:szCs w:val="24"/>
          <w:lang w:val="en-GB"/>
        </w:rPr>
      </w:pPr>
    </w:p>
    <w:p>
      <w:pPr>
        <w:numPr>
          <w:ilvl w:val="0"/>
          <w:numId w:val="0"/>
        </w:numPr>
        <w:ind w:leftChars="0"/>
        <w:jc w:val="both"/>
        <w:rPr>
          <w:rFonts w:hint="default" w:ascii="Times New Roman" w:hAnsi="Times New Roman" w:cs="Times New Roman"/>
          <w:b w:val="0"/>
          <w:bCs w:val="0"/>
          <w:sz w:val="24"/>
          <w:szCs w:val="24"/>
          <w:lang w:val="en-GB"/>
        </w:rPr>
      </w:pPr>
      <w:r>
        <w:rPr>
          <w:rFonts w:hint="default" w:ascii="Times New Roman" w:hAnsi="Times New Roman" w:cs="Times New Roman"/>
          <w:b w:val="0"/>
          <w:bCs w:val="0"/>
          <w:sz w:val="24"/>
          <w:szCs w:val="24"/>
          <w:lang w:val="en-GB"/>
        </w:rPr>
        <w:t xml:space="preserve">Fig 2: OPG The OPG showed normal anatomical landmarks with angular bone loss irt </w:t>
      </w:r>
    </w:p>
    <w:p>
      <w:pPr>
        <w:numPr>
          <w:ilvl w:val="0"/>
          <w:numId w:val="0"/>
        </w:numPr>
        <w:ind w:leftChars="0"/>
        <w:jc w:val="both"/>
        <w:rPr>
          <w:rFonts w:hint="default" w:ascii="Times New Roman" w:hAnsi="Times New Roman" w:cs="Times New Roman"/>
          <w:b w:val="0"/>
          <w:bCs w:val="0"/>
          <w:sz w:val="24"/>
          <w:szCs w:val="24"/>
          <w:lang w:val="en-GB"/>
        </w:rPr>
      </w:pPr>
      <w:r>
        <w:rPr>
          <w:rFonts w:hint="default" w:ascii="Times New Roman" w:hAnsi="Times New Roman" w:cs="Times New Roman"/>
          <w:b w:val="0"/>
          <w:bCs w:val="0"/>
          <w:sz w:val="24"/>
          <w:szCs w:val="24"/>
          <w:lang w:val="en-GB"/>
        </w:rPr>
        <w:t>18,17,16,12,11,22,23,26,27,28,36,37,38,46,47,and 48</w:t>
      </w:r>
    </w:p>
    <w:p>
      <w:pPr>
        <w:numPr>
          <w:ilvl w:val="0"/>
          <w:numId w:val="0"/>
        </w:numPr>
        <w:ind w:leftChars="0"/>
        <w:jc w:val="both"/>
        <w:rPr>
          <w:rFonts w:hint="default" w:ascii="Times New Roman" w:hAnsi="Times New Roman" w:cs="Times New Roman"/>
          <w:b w:val="0"/>
          <w:bCs w:val="0"/>
          <w:sz w:val="24"/>
          <w:szCs w:val="24"/>
          <w:lang w:val="en-GB"/>
        </w:rPr>
      </w:pPr>
    </w:p>
    <w:p>
      <w:pPr>
        <w:numPr>
          <w:ilvl w:val="0"/>
          <w:numId w:val="0"/>
        </w:numPr>
        <w:ind w:leftChars="0"/>
        <w:jc w:val="both"/>
        <w:rPr>
          <w:rFonts w:hint="default" w:ascii="Times New Roman" w:hAnsi="Times New Roman" w:cs="Times New Roman"/>
          <w:b w:val="0"/>
          <w:bCs w:val="0"/>
          <w:sz w:val="24"/>
          <w:szCs w:val="24"/>
          <w:lang w:val="en-GB"/>
        </w:rPr>
      </w:pPr>
      <w:r>
        <w:rPr>
          <w:rFonts w:hint="default" w:ascii="Times New Roman" w:hAnsi="Times New Roman" w:cs="Times New Roman"/>
          <w:b w:val="0"/>
          <w:bCs w:val="0"/>
          <w:sz w:val="24"/>
          <w:szCs w:val="24"/>
          <w:lang w:val="en-GB"/>
        </w:rPr>
        <w:t xml:space="preserve"> .</w:t>
      </w:r>
      <w:r>
        <w:drawing>
          <wp:inline distT="0" distB="0" distL="114300" distR="114300">
            <wp:extent cx="4656455" cy="2994025"/>
            <wp:effectExtent l="0" t="0" r="4445" b="3175"/>
            <wp:docPr id="2" name="Content Placeholder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ontent Placeholder 3"/>
                    <pic:cNvPicPr>
                      <a:picLocks noChangeAspect="1"/>
                    </pic:cNvPicPr>
                  </pic:nvPicPr>
                  <pic:blipFill>
                    <a:blip r:embed="rId6"/>
                    <a:srcRect t="22236" r="17430" b="3069"/>
                    <a:stretch>
                      <a:fillRect/>
                    </a:stretch>
                  </pic:blipFill>
                  <pic:spPr>
                    <a:xfrm>
                      <a:off x="0" y="0"/>
                      <a:ext cx="4656455" cy="2994025"/>
                    </a:xfrm>
                    <a:prstGeom prst="rect">
                      <a:avLst/>
                    </a:prstGeom>
                    <a:noFill/>
                    <a:ln w="9525">
                      <a:noFill/>
                    </a:ln>
                  </pic:spPr>
                </pic:pic>
              </a:graphicData>
            </a:graphic>
          </wp:inline>
        </w:drawing>
      </w:r>
    </w:p>
    <w:p>
      <w:pPr>
        <w:jc w:val="both"/>
        <w:rPr>
          <w:rFonts w:hint="default" w:ascii="Times New Roman" w:hAnsi="Times New Roman" w:cs="Times New Roman"/>
          <w:b w:val="0"/>
          <w:bCs w:val="0"/>
          <w:sz w:val="24"/>
          <w:szCs w:val="24"/>
          <w:lang w:val="en-GB"/>
        </w:rPr>
      </w:pPr>
      <w:r>
        <w:rPr>
          <w:rFonts w:hint="default" w:ascii="Times New Roman" w:hAnsi="Times New Roman" w:cs="Times New Roman"/>
          <w:b w:val="0"/>
          <w:bCs w:val="0"/>
          <w:sz w:val="24"/>
          <w:szCs w:val="24"/>
          <w:lang w:val="en-GB"/>
        </w:rPr>
        <w:t xml:space="preserve">Fig 3: showing CBCT images of mandible. </w:t>
      </w:r>
    </w:p>
    <w:p>
      <w:pPr>
        <w:jc w:val="both"/>
        <w:rPr>
          <w:rFonts w:hint="default" w:ascii="Times New Roman" w:hAnsi="Times New Roman" w:cs="Times New Roman"/>
          <w:b w:val="0"/>
          <w:bCs w:val="0"/>
          <w:sz w:val="24"/>
          <w:szCs w:val="24"/>
          <w:lang w:val="en-GB"/>
        </w:rPr>
      </w:pPr>
    </w:p>
    <w:p>
      <w:pPr>
        <w:jc w:val="both"/>
        <w:rPr>
          <w:rFonts w:hint="default" w:ascii="Times New Roman" w:hAnsi="Times New Roman" w:cs="Times New Roman"/>
          <w:b w:val="0"/>
          <w:bCs w:val="0"/>
          <w:sz w:val="24"/>
          <w:szCs w:val="24"/>
          <w:lang w:val="en-GB"/>
        </w:rPr>
      </w:pPr>
      <w:r>
        <w:rPr>
          <w:rFonts w:hint="default" w:ascii="Times New Roman" w:hAnsi="Times New Roman" w:cs="Times New Roman"/>
          <w:b w:val="0"/>
          <w:bCs w:val="0"/>
          <w:sz w:val="24"/>
          <w:szCs w:val="24"/>
          <w:lang w:val="en-GB"/>
        </w:rPr>
        <w:t>CBCT revealed irregular osteolytic lesions involving mandibular dentoalveolar region causing erosion with loss of normal architecture of the bone.Irregular outline of alveolar sockets with exaggerated disruption in the buccal &amp; lingual cortical plates was evident around posterior teeth bilaterally with furcation bone loss.</w:t>
      </w:r>
    </w:p>
    <w:p>
      <w:pPr>
        <w:jc w:val="both"/>
        <w:rPr>
          <w:rFonts w:hint="default" w:ascii="Times New Roman" w:hAnsi="Times New Roman" w:cs="Times New Roman"/>
          <w:b w:val="0"/>
          <w:bCs w:val="0"/>
          <w:sz w:val="24"/>
          <w:szCs w:val="24"/>
          <w:lang w:val="en-GB"/>
        </w:rPr>
      </w:pPr>
    </w:p>
    <w:p>
      <w:pPr>
        <w:jc w:val="both"/>
        <w:rPr>
          <w:rFonts w:hint="default" w:ascii="Times New Roman" w:hAnsi="Times New Roman" w:cs="Times New Roman"/>
          <w:b w:val="0"/>
          <w:bCs w:val="0"/>
          <w:sz w:val="24"/>
          <w:szCs w:val="24"/>
          <w:lang w:val="en-GB"/>
        </w:rPr>
      </w:pPr>
      <w:r>
        <w:rPr>
          <w:rFonts w:hint="default" w:ascii="Times New Roman" w:hAnsi="Times New Roman" w:cs="Times New Roman"/>
          <w:b w:val="0"/>
          <w:bCs w:val="0"/>
          <w:sz w:val="24"/>
          <w:szCs w:val="24"/>
          <w:lang w:val="en-GB"/>
        </w:rPr>
        <w:t xml:space="preserve">The patient was referred to a higher center for management, where he underwent MRI </w:t>
      </w:r>
    </w:p>
    <w:p>
      <w:pPr>
        <w:jc w:val="both"/>
        <w:rPr>
          <w:rFonts w:hint="default" w:ascii="Times New Roman" w:hAnsi="Times New Roman" w:cs="Times New Roman"/>
          <w:b w:val="0"/>
          <w:bCs w:val="0"/>
          <w:sz w:val="24"/>
          <w:szCs w:val="24"/>
          <w:lang w:val="en-GB"/>
        </w:rPr>
      </w:pPr>
      <w:r>
        <w:rPr>
          <w:rFonts w:hint="default" w:ascii="Times New Roman" w:hAnsi="Times New Roman" w:cs="Times New Roman"/>
          <w:b w:val="0"/>
          <w:bCs w:val="0"/>
          <w:sz w:val="24"/>
          <w:szCs w:val="24"/>
          <w:lang w:val="en-GB"/>
        </w:rPr>
        <w:t>Of Brain, Orbits &amp; PNS which showed subtle T2 hypertense signal changes at right cavernous sinus with post contrast enhancement. PNS and Calvaria appeared normal and working diagnosis of Sinonasal Mucormycosis with involvement of mandible was given.</w:t>
      </w:r>
    </w:p>
    <w:p>
      <w:pPr>
        <w:jc w:val="both"/>
        <w:rPr>
          <w:rFonts w:hint="default" w:ascii="Times New Roman" w:hAnsi="Times New Roman" w:cs="Times New Roman"/>
          <w:b w:val="0"/>
          <w:bCs w:val="0"/>
          <w:sz w:val="24"/>
          <w:szCs w:val="24"/>
          <w:lang w:val="en-GB"/>
        </w:rPr>
      </w:pPr>
    </w:p>
    <w:p>
      <w:pPr>
        <w:jc w:val="both"/>
        <w:rPr>
          <w:rFonts w:hint="default" w:ascii="Times New Roman" w:hAnsi="Times New Roman" w:cs="Times New Roman"/>
          <w:b w:val="0"/>
          <w:bCs w:val="0"/>
          <w:sz w:val="24"/>
          <w:szCs w:val="24"/>
          <w:lang w:val="en-GB"/>
        </w:rPr>
      </w:pPr>
      <w:r>
        <w:rPr>
          <w:rFonts w:hint="default" w:ascii="Times New Roman" w:hAnsi="Times New Roman" w:cs="Times New Roman"/>
          <w:b w:val="0"/>
          <w:bCs w:val="0"/>
          <w:sz w:val="24"/>
          <w:szCs w:val="24"/>
          <w:lang w:val="en-GB"/>
        </w:rPr>
        <w:t>Patient underwent sequestrectomy + sauceration of mandible + B/L FESS + Septoplastysss under GA.</w:t>
      </w:r>
    </w:p>
    <w:p>
      <w:pPr>
        <w:jc w:val="both"/>
        <w:rPr>
          <w:rFonts w:hint="default" w:ascii="Times New Roman" w:hAnsi="Times New Roman" w:cs="Times New Roman"/>
          <w:b w:val="0"/>
          <w:bCs w:val="0"/>
          <w:sz w:val="24"/>
          <w:szCs w:val="24"/>
          <w:lang w:val="en-GB"/>
        </w:rPr>
      </w:pPr>
      <w:r>
        <w:rPr>
          <w:rFonts w:hint="default" w:ascii="Times New Roman" w:hAnsi="Times New Roman" w:cs="Times New Roman"/>
          <w:b w:val="0"/>
          <w:bCs w:val="0"/>
          <w:sz w:val="24"/>
          <w:szCs w:val="24"/>
          <w:lang w:val="en-GB"/>
        </w:rPr>
        <w:t xml:space="preserve">Post operatively he was treated with IV Amphotericin 1.5Mg/kg, IV and Inj Posaconazole 300Mg for duration of 3 weeks. </w:t>
      </w:r>
    </w:p>
    <w:p>
      <w:pPr>
        <w:jc w:val="both"/>
        <w:rPr>
          <w:rFonts w:hint="default" w:ascii="Times New Roman" w:hAnsi="Times New Roman" w:cs="Times New Roman"/>
          <w:b w:val="0"/>
          <w:bCs w:val="0"/>
          <w:sz w:val="24"/>
          <w:szCs w:val="24"/>
          <w:lang w:val="en-GB"/>
        </w:rPr>
      </w:pPr>
    </w:p>
    <w:p>
      <w:pPr>
        <w:jc w:val="both"/>
        <w:rPr>
          <w:rFonts w:hint="default" w:ascii="Times New Roman" w:hAnsi="Times New Roman" w:cs="Times New Roman"/>
          <w:b w:val="0"/>
          <w:bCs w:val="0"/>
          <w:sz w:val="24"/>
          <w:szCs w:val="24"/>
          <w:lang w:val="en-GB"/>
        </w:rPr>
      </w:pPr>
    </w:p>
    <w:p>
      <w:pPr>
        <w:jc w:val="both"/>
        <w:rPr>
          <w:rFonts w:hint="default" w:ascii="Times New Roman" w:hAnsi="Times New Roman" w:cs="Times New Roman"/>
          <w:b w:val="0"/>
          <w:bCs w:val="0"/>
          <w:sz w:val="24"/>
          <w:szCs w:val="24"/>
          <w:lang w:val="en-GB"/>
        </w:rPr>
      </w:pPr>
      <w:r>
        <w:drawing>
          <wp:inline distT="0" distB="0" distL="114300" distR="114300">
            <wp:extent cx="2560955" cy="1766570"/>
            <wp:effectExtent l="0" t="0" r="4445" b="11430"/>
            <wp:docPr id="6" name="Content Placeholder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ontent Placeholder 4"/>
                    <pic:cNvPicPr>
                      <a:picLocks noChangeAspect="1"/>
                    </pic:cNvPicPr>
                  </pic:nvPicPr>
                  <pic:blipFill>
                    <a:blip r:embed="rId7"/>
                    <a:srcRect l="4917" r="3152" b="1252"/>
                    <a:stretch>
                      <a:fillRect/>
                    </a:stretch>
                  </pic:blipFill>
                  <pic:spPr>
                    <a:xfrm>
                      <a:off x="0" y="0"/>
                      <a:ext cx="2560955" cy="1766570"/>
                    </a:xfrm>
                    <a:prstGeom prst="rect">
                      <a:avLst/>
                    </a:prstGeom>
                    <a:noFill/>
                    <a:ln w="9525">
                      <a:noFill/>
                    </a:ln>
                  </pic:spPr>
                </pic:pic>
              </a:graphicData>
            </a:graphic>
          </wp:inline>
        </w:drawing>
      </w:r>
      <w:r>
        <w:rPr>
          <w:rFonts w:hint="default" w:ascii="Times New Roman" w:hAnsi="Times New Roman" w:cs="Times New Roman"/>
          <w:b w:val="0"/>
          <w:bCs w:val="0"/>
          <w:sz w:val="24"/>
          <w:szCs w:val="24"/>
          <w:lang w:val="en-GB"/>
        </w:rPr>
        <w:drawing>
          <wp:inline distT="0" distB="0" distL="114300" distR="114300">
            <wp:extent cx="2675255" cy="1746885"/>
            <wp:effectExtent l="0" t="0" r="4445" b="5715"/>
            <wp:docPr id="7" name="Picture 7" descr="po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post"/>
                    <pic:cNvPicPr>
                      <a:picLocks noChangeAspect="1"/>
                    </pic:cNvPicPr>
                  </pic:nvPicPr>
                  <pic:blipFill>
                    <a:blip r:embed="rId8"/>
                    <a:srcRect l="10934" t="12540" r="5467" b="6808"/>
                    <a:stretch>
                      <a:fillRect/>
                    </a:stretch>
                  </pic:blipFill>
                  <pic:spPr>
                    <a:xfrm>
                      <a:off x="0" y="0"/>
                      <a:ext cx="2675255" cy="1746885"/>
                    </a:xfrm>
                    <a:prstGeom prst="rect">
                      <a:avLst/>
                    </a:prstGeom>
                  </pic:spPr>
                </pic:pic>
              </a:graphicData>
            </a:graphic>
          </wp:inline>
        </w:drawing>
      </w:r>
    </w:p>
    <w:p>
      <w:pPr>
        <w:jc w:val="both"/>
        <w:rPr>
          <w:rFonts w:hint="default" w:ascii="Times New Roman" w:hAnsi="Times New Roman" w:cs="Times New Roman"/>
          <w:b w:val="0"/>
          <w:bCs w:val="0"/>
          <w:sz w:val="24"/>
          <w:szCs w:val="24"/>
          <w:lang w:val="en-GB"/>
        </w:rPr>
      </w:pPr>
    </w:p>
    <w:p>
      <w:pPr>
        <w:jc w:val="both"/>
        <w:rPr>
          <w:rFonts w:hint="default" w:ascii="Times New Roman" w:hAnsi="Times New Roman" w:cs="Times New Roman"/>
          <w:b w:val="0"/>
          <w:bCs w:val="0"/>
          <w:sz w:val="24"/>
          <w:szCs w:val="24"/>
          <w:lang w:val="en-GB"/>
        </w:rPr>
      </w:pPr>
      <w:r>
        <w:rPr>
          <w:rFonts w:hint="default" w:ascii="Times New Roman" w:hAnsi="Times New Roman" w:cs="Times New Roman"/>
          <w:b w:val="0"/>
          <w:bCs w:val="0"/>
          <w:sz w:val="24"/>
          <w:szCs w:val="24"/>
          <w:lang w:val="en-GB"/>
        </w:rPr>
        <w:t xml:space="preserve">Fig 4: showing post treatment photo </w:t>
      </w:r>
    </w:p>
    <w:p>
      <w:pPr>
        <w:jc w:val="both"/>
        <w:rPr>
          <w:rFonts w:hint="default" w:ascii="Times New Roman" w:hAnsi="Times New Roman" w:cs="Times New Roman"/>
          <w:b w:val="0"/>
          <w:bCs w:val="0"/>
          <w:sz w:val="24"/>
          <w:szCs w:val="24"/>
          <w:lang w:val="en-GB"/>
        </w:rPr>
      </w:pPr>
    </w:p>
    <w:p>
      <w:pPr>
        <w:jc w:val="both"/>
        <w:rPr>
          <w:rFonts w:hint="default" w:ascii="Times New Roman" w:hAnsi="Times New Roman" w:cs="Times New Roman"/>
          <w:b w:val="0"/>
          <w:bCs w:val="0"/>
          <w:sz w:val="24"/>
          <w:szCs w:val="24"/>
          <w:lang w:val="en-GB"/>
        </w:rPr>
      </w:pPr>
    </w:p>
    <w:p>
      <w:pPr>
        <w:jc w:val="both"/>
        <w:rPr>
          <w:rFonts w:hint="default" w:ascii="Times New Roman" w:hAnsi="Times New Roman" w:cs="Times New Roman"/>
          <w:b w:val="0"/>
          <w:bCs w:val="0"/>
          <w:sz w:val="24"/>
          <w:szCs w:val="24"/>
          <w:lang w:val="en-GB"/>
        </w:rPr>
      </w:pPr>
    </w:p>
    <w:p>
      <w:pPr>
        <w:jc w:val="both"/>
        <w:rPr>
          <w:rFonts w:hint="default" w:ascii="Times New Roman" w:hAnsi="Times New Roman" w:cs="Times New Roman"/>
          <w:b w:val="0"/>
          <w:bCs w:val="0"/>
          <w:sz w:val="24"/>
          <w:szCs w:val="24"/>
          <w:lang w:val="en-GB"/>
        </w:rPr>
      </w:pPr>
      <w:r>
        <w:rPr>
          <w:rFonts w:hint="default" w:ascii="Times New Roman" w:hAnsi="Times New Roman" w:cs="Times New Roman"/>
          <w:b/>
          <w:bCs/>
          <w:sz w:val="28"/>
          <w:szCs w:val="28"/>
          <w:lang w:val="en-GB"/>
        </w:rPr>
        <w:t>HISTOPATHOLOGY REPORT :</w:t>
      </w:r>
    </w:p>
    <w:p>
      <w:pPr>
        <w:jc w:val="both"/>
        <w:rPr>
          <w:rFonts w:hint="default" w:ascii="Times New Roman" w:hAnsi="Times New Roman" w:cs="Times New Roman"/>
          <w:b w:val="0"/>
          <w:bCs w:val="0"/>
          <w:sz w:val="24"/>
          <w:szCs w:val="24"/>
          <w:lang w:val="en-GB"/>
        </w:rPr>
      </w:pPr>
    </w:p>
    <w:p>
      <w:pPr>
        <w:jc w:val="both"/>
        <w:rPr>
          <w:rFonts w:hint="default" w:ascii="Times New Roman" w:hAnsi="Times New Roman" w:cs="Times New Roman"/>
          <w:b w:val="0"/>
          <w:bCs w:val="0"/>
          <w:sz w:val="24"/>
          <w:szCs w:val="24"/>
          <w:lang w:val="en-GB"/>
        </w:rPr>
      </w:pPr>
    </w:p>
    <w:p>
      <w:pPr>
        <w:jc w:val="both"/>
        <w:rPr>
          <w:rFonts w:hint="default" w:ascii="Times New Roman" w:hAnsi="Times New Roman" w:cs="Times New Roman"/>
          <w:b w:val="0"/>
          <w:bCs w:val="0"/>
          <w:sz w:val="24"/>
          <w:szCs w:val="24"/>
          <w:lang w:val="en-GB"/>
        </w:rPr>
      </w:pPr>
      <w:r>
        <w:rPr>
          <w:rFonts w:hint="default" w:ascii="Times New Roman" w:hAnsi="Times New Roman" w:cs="Times New Roman"/>
          <w:b w:val="0"/>
          <w:bCs w:val="0"/>
          <w:sz w:val="24"/>
          <w:szCs w:val="24"/>
          <w:lang w:val="en-GB"/>
        </w:rPr>
        <w:t>Histopathological report showed scattered broad, aseptate,hyaline fungal hyphae with wide angle branching resembling mucorales against a necrotic background. Other section studied showed tissue lined by stratified squamous epithelium with underlying chronic inflammatory cell infiltrates, suppuration and hemorrhage suggestive of bone invasion with fungal elements - morphology representing mucormycosis.</w:t>
      </w:r>
    </w:p>
    <w:p>
      <w:pPr>
        <w:jc w:val="both"/>
        <w:rPr>
          <w:rFonts w:hint="default" w:ascii="Times New Roman" w:hAnsi="Times New Roman" w:cs="Times New Roman"/>
          <w:b w:val="0"/>
          <w:bCs w:val="0"/>
          <w:sz w:val="24"/>
          <w:szCs w:val="24"/>
          <w:lang w:val="en-GB"/>
        </w:rPr>
      </w:pPr>
    </w:p>
    <w:p>
      <w:pPr>
        <w:jc w:val="both"/>
        <w:rPr>
          <w:rFonts w:hint="default" w:ascii="Times New Roman" w:hAnsi="Times New Roman" w:cs="Times New Roman"/>
          <w:b w:val="0"/>
          <w:bCs w:val="0"/>
          <w:sz w:val="24"/>
          <w:szCs w:val="24"/>
          <w:lang w:val="en-GB"/>
        </w:rPr>
      </w:pPr>
      <w:r>
        <w:rPr>
          <w:rFonts w:hint="default" w:ascii="Times New Roman" w:hAnsi="Times New Roman" w:cs="Times New Roman"/>
          <w:b w:val="0"/>
          <w:bCs w:val="0"/>
          <w:sz w:val="24"/>
          <w:szCs w:val="24"/>
          <w:lang w:val="en-GB"/>
        </w:rPr>
        <w:t>The fungal elements were identified on routine H and E sections. The tissue sections were subjected to additional histochemical stains - PAS to highlight the fungal elements.</w:t>
      </w:r>
    </w:p>
    <w:p>
      <w:pPr>
        <w:jc w:val="both"/>
        <w:rPr>
          <w:rFonts w:hint="default" w:ascii="Times New Roman" w:hAnsi="Times New Roman" w:cs="Times New Roman"/>
          <w:b w:val="0"/>
          <w:bCs w:val="0"/>
          <w:sz w:val="24"/>
          <w:szCs w:val="24"/>
          <w:lang w:val="en-GB"/>
        </w:rPr>
      </w:pPr>
    </w:p>
    <w:p>
      <w:pPr>
        <w:jc w:val="both"/>
        <w:rPr>
          <w:rFonts w:hint="default" w:ascii="Times New Roman" w:hAnsi="Times New Roman" w:cs="Times New Roman"/>
          <w:b w:val="0"/>
          <w:bCs w:val="0"/>
          <w:sz w:val="24"/>
          <w:szCs w:val="24"/>
          <w:lang w:val="en-GB"/>
        </w:rPr>
      </w:pPr>
      <w:r>
        <w:rPr>
          <w:rFonts w:hint="default" w:ascii="Times New Roman" w:hAnsi="Times New Roman" w:cs="Times New Roman"/>
          <w:b w:val="0"/>
          <w:bCs w:val="0"/>
          <w:sz w:val="24"/>
          <w:szCs w:val="24"/>
          <w:lang w:val="en-GB"/>
        </w:rPr>
        <w:t>Final diagnosis was given as Sinonasal and Mandibular Mucormycosis.</w:t>
      </w:r>
    </w:p>
    <w:p>
      <w:pPr>
        <w:jc w:val="both"/>
        <w:rPr>
          <w:rFonts w:hint="default" w:ascii="Times New Roman" w:hAnsi="Times New Roman" w:cs="Times New Roman"/>
          <w:b w:val="0"/>
          <w:bCs w:val="0"/>
          <w:sz w:val="24"/>
          <w:szCs w:val="24"/>
          <w:lang w:val="en-GB"/>
        </w:rPr>
      </w:pPr>
    </w:p>
    <w:p>
      <w:pPr>
        <w:jc w:val="both"/>
        <w:rPr>
          <w:rFonts w:hint="default" w:ascii="Times New Roman" w:hAnsi="Times New Roman" w:cs="Times New Roman"/>
          <w:b/>
          <w:bCs/>
          <w:sz w:val="28"/>
          <w:szCs w:val="28"/>
          <w:lang w:val="en-GB"/>
        </w:rPr>
      </w:pPr>
    </w:p>
    <w:p>
      <w:pPr>
        <w:jc w:val="both"/>
        <w:rPr>
          <w:rFonts w:hint="default" w:ascii="Times New Roman" w:hAnsi="Times New Roman" w:cs="Times New Roman"/>
          <w:b/>
          <w:bCs/>
          <w:sz w:val="28"/>
          <w:szCs w:val="28"/>
          <w:lang w:val="en-GB"/>
        </w:rPr>
      </w:pPr>
    </w:p>
    <w:p>
      <w:pPr>
        <w:jc w:val="both"/>
        <w:rPr>
          <w:rFonts w:hint="default" w:ascii="Times New Roman" w:hAnsi="Times New Roman" w:cs="Times New Roman"/>
          <w:b/>
          <w:bCs/>
          <w:sz w:val="28"/>
          <w:szCs w:val="28"/>
          <w:lang w:val="en-GB"/>
        </w:rPr>
      </w:pPr>
    </w:p>
    <w:p>
      <w:pPr>
        <w:jc w:val="both"/>
        <w:rPr>
          <w:rFonts w:hint="default" w:ascii="Times New Roman" w:hAnsi="Times New Roman" w:cs="Times New Roman"/>
          <w:b/>
          <w:bCs/>
          <w:sz w:val="28"/>
          <w:szCs w:val="28"/>
          <w:lang w:val="en-GB"/>
        </w:rPr>
      </w:pPr>
    </w:p>
    <w:p>
      <w:pPr>
        <w:jc w:val="both"/>
        <w:rPr>
          <w:rFonts w:hint="default" w:ascii="Times New Roman" w:hAnsi="Times New Roman" w:cs="Times New Roman"/>
          <w:b/>
          <w:bCs/>
          <w:sz w:val="28"/>
          <w:szCs w:val="28"/>
          <w:lang w:val="en-GB"/>
        </w:rPr>
      </w:pPr>
    </w:p>
    <w:p>
      <w:pPr>
        <w:jc w:val="both"/>
        <w:rPr>
          <w:rFonts w:hint="default" w:ascii="Times New Roman" w:hAnsi="Times New Roman" w:cs="Times New Roman"/>
          <w:b/>
          <w:bCs/>
          <w:sz w:val="28"/>
          <w:szCs w:val="28"/>
          <w:lang w:val="en-GB"/>
        </w:rPr>
      </w:pPr>
      <w:bookmarkStart w:id="0" w:name="_GoBack"/>
      <w:bookmarkEnd w:id="0"/>
      <w:r>
        <w:rPr>
          <w:rFonts w:hint="default" w:ascii="Times New Roman" w:hAnsi="Times New Roman" w:cs="Times New Roman"/>
          <w:b/>
          <w:bCs/>
          <w:sz w:val="28"/>
          <w:szCs w:val="28"/>
          <w:lang w:val="en-GB"/>
        </w:rPr>
        <w:t>DISCUSSION :</w:t>
      </w:r>
    </w:p>
    <w:p>
      <w:pPr>
        <w:jc w:val="both"/>
        <w:rPr>
          <w:rFonts w:hint="default" w:ascii="Times New Roman" w:hAnsi="Times New Roman" w:cs="Times New Roman"/>
          <w:b w:val="0"/>
          <w:bCs w:val="0"/>
          <w:sz w:val="24"/>
          <w:szCs w:val="24"/>
          <w:lang w:val="en-GB"/>
        </w:rPr>
      </w:pPr>
    </w:p>
    <w:p>
      <w:pPr>
        <w:jc w:val="both"/>
        <w:rPr>
          <w:rFonts w:hint="default" w:ascii="Times New Roman" w:hAnsi="Times New Roman" w:cs="Times New Roman"/>
          <w:b w:val="0"/>
          <w:bCs w:val="0"/>
          <w:sz w:val="24"/>
          <w:szCs w:val="24"/>
          <w:lang w:val="en-GB"/>
        </w:rPr>
      </w:pPr>
      <w:r>
        <w:rPr>
          <w:rFonts w:hint="default" w:ascii="Times New Roman" w:hAnsi="Times New Roman" w:cs="Times New Roman"/>
          <w:b w:val="0"/>
          <w:bCs w:val="0"/>
          <w:sz w:val="24"/>
          <w:szCs w:val="24"/>
          <w:lang w:val="en-GB"/>
        </w:rPr>
        <w:t xml:space="preserve"> Mucormycosis is a rare life threatening black fungal infection in patients recovered from COVID-19.</w:t>
      </w:r>
      <w:r>
        <w:rPr>
          <w:rFonts w:hint="default" w:ascii="Times New Roman" w:hAnsi="Times New Roman" w:cs="Times New Roman"/>
          <w:b w:val="0"/>
          <w:bCs w:val="0"/>
          <w:sz w:val="24"/>
          <w:szCs w:val="24"/>
          <w:vertAlign w:val="superscript"/>
          <w:lang w:val="en-GB"/>
        </w:rPr>
        <w:t>3</w:t>
      </w:r>
      <w:r>
        <w:rPr>
          <w:rFonts w:hint="default" w:ascii="Times New Roman" w:hAnsi="Times New Roman" w:cs="Times New Roman"/>
          <w:b w:val="0"/>
          <w:bCs w:val="0"/>
          <w:sz w:val="24"/>
          <w:szCs w:val="24"/>
          <w:lang w:val="en-GB"/>
        </w:rPr>
        <w:t xml:space="preserve"> A complex interplay of factors,including preexisting diseases,such as diabetes mellitus,previous respiratory pathology, use of immunosupressive therapy,the risk of hospital-acquired infections, and systemic immune alterations of </w:t>
      </w:r>
    </w:p>
    <w:p>
      <w:pPr>
        <w:jc w:val="both"/>
        <w:rPr>
          <w:rFonts w:hint="default" w:ascii="Times New Roman" w:hAnsi="Times New Roman" w:cs="Times New Roman"/>
          <w:b w:val="0"/>
          <w:bCs w:val="0"/>
          <w:sz w:val="24"/>
          <w:szCs w:val="24"/>
          <w:lang w:val="en-GB"/>
        </w:rPr>
      </w:pPr>
    </w:p>
    <w:p>
      <w:pPr>
        <w:jc w:val="both"/>
        <w:rPr>
          <w:rFonts w:hint="default" w:ascii="Times New Roman" w:hAnsi="Times New Roman" w:cs="Times New Roman"/>
          <w:b w:val="0"/>
          <w:bCs w:val="0"/>
          <w:sz w:val="24"/>
          <w:szCs w:val="24"/>
          <w:vertAlign w:val="superscript"/>
          <w:lang w:val="en-GB"/>
        </w:rPr>
      </w:pPr>
      <w:r>
        <w:rPr>
          <w:rFonts w:hint="default" w:ascii="Times New Roman" w:hAnsi="Times New Roman" w:cs="Times New Roman"/>
          <w:b w:val="0"/>
          <w:bCs w:val="0"/>
          <w:sz w:val="24"/>
          <w:szCs w:val="24"/>
          <w:lang w:val="en-GB"/>
        </w:rPr>
        <w:t>COVID-19 infection itself may lead to secondary infections,which are increasingly being recognized in view of their impact on morbidity and mortality.</w:t>
      </w:r>
      <w:r>
        <w:rPr>
          <w:rFonts w:hint="default" w:ascii="Times New Roman" w:hAnsi="Times New Roman" w:cs="Times New Roman"/>
          <w:b w:val="0"/>
          <w:bCs w:val="0"/>
          <w:sz w:val="24"/>
          <w:szCs w:val="24"/>
          <w:vertAlign w:val="superscript"/>
          <w:lang w:val="en-GB"/>
        </w:rPr>
        <w:t>3</w:t>
      </w:r>
    </w:p>
    <w:p>
      <w:pPr>
        <w:jc w:val="both"/>
        <w:rPr>
          <w:rFonts w:hint="default" w:ascii="Times New Roman" w:hAnsi="Times New Roman" w:cs="Times New Roman"/>
          <w:b w:val="0"/>
          <w:bCs w:val="0"/>
          <w:sz w:val="24"/>
          <w:szCs w:val="24"/>
          <w:vertAlign w:val="superscript"/>
          <w:lang w:val="en-GB"/>
        </w:rPr>
      </w:pPr>
      <w:r>
        <w:rPr>
          <w:rFonts w:hint="default" w:ascii="Times New Roman" w:hAnsi="Times New Roman" w:cs="Times New Roman"/>
          <w:b w:val="0"/>
          <w:bCs w:val="0"/>
          <w:sz w:val="24"/>
          <w:szCs w:val="24"/>
          <w:lang w:val="en-GB"/>
        </w:rPr>
        <w:t>Given the mortality rate of both COVID-19 and mucormycosis we must pay heed to diagnose this fungal infection at initial stage. It is recommended that post COVID-19 patients are enquired about having any dental problems and any patients with symptoms must be treated on urgent basis.</w:t>
      </w:r>
      <w:r>
        <w:rPr>
          <w:rFonts w:hint="default" w:ascii="Times New Roman" w:hAnsi="Times New Roman" w:cs="Times New Roman"/>
          <w:b w:val="0"/>
          <w:bCs w:val="0"/>
          <w:sz w:val="24"/>
          <w:szCs w:val="24"/>
          <w:vertAlign w:val="superscript"/>
          <w:lang w:val="en-GB"/>
        </w:rPr>
        <w:t>4</w:t>
      </w:r>
    </w:p>
    <w:p>
      <w:pPr>
        <w:jc w:val="both"/>
        <w:rPr>
          <w:rFonts w:hint="default" w:ascii="Times New Roman" w:hAnsi="Times New Roman" w:cs="Times New Roman"/>
          <w:b w:val="0"/>
          <w:bCs w:val="0"/>
          <w:sz w:val="24"/>
          <w:szCs w:val="24"/>
          <w:lang w:val="en-GB"/>
        </w:rPr>
      </w:pPr>
    </w:p>
    <w:p>
      <w:pPr>
        <w:jc w:val="both"/>
        <w:rPr>
          <w:rFonts w:hint="default" w:ascii="Times New Roman" w:hAnsi="Times New Roman" w:cs="Times New Roman"/>
          <w:b w:val="0"/>
          <w:bCs w:val="0"/>
          <w:sz w:val="24"/>
          <w:szCs w:val="24"/>
          <w:vertAlign w:val="superscript"/>
          <w:lang w:val="en-GB"/>
        </w:rPr>
      </w:pPr>
      <w:r>
        <w:rPr>
          <w:rFonts w:hint="default" w:ascii="Times New Roman" w:hAnsi="Times New Roman" w:cs="Times New Roman"/>
          <w:b w:val="0"/>
          <w:bCs w:val="0"/>
          <w:sz w:val="24"/>
          <w:szCs w:val="24"/>
          <w:lang w:val="en-GB"/>
        </w:rPr>
        <w:t>There are specific pathophysiologic features of COVID-19 that may permit secondary fungal infections,including a propensity to cause extensive pulmonary disease &amp; the subsequent alveolo-interstitial pathology that may enhance the risk of invasive fungal infections, second the immune dysregulation associated with C0VID-19 with reduced numbers of T lymphocytes,CD4 +T &amp; CD8+T cells may alter innate immunity.</w:t>
      </w:r>
      <w:r>
        <w:rPr>
          <w:rFonts w:hint="default" w:ascii="Times New Roman" w:hAnsi="Times New Roman" w:cs="Times New Roman"/>
          <w:b w:val="0"/>
          <w:bCs w:val="0"/>
          <w:sz w:val="24"/>
          <w:szCs w:val="24"/>
          <w:vertAlign w:val="superscript"/>
          <w:lang w:val="en-GB"/>
        </w:rPr>
        <w:t>3</w:t>
      </w:r>
    </w:p>
    <w:p>
      <w:pPr>
        <w:jc w:val="both"/>
        <w:rPr>
          <w:rFonts w:hint="default" w:ascii="Times New Roman" w:hAnsi="Times New Roman" w:cs="Times New Roman"/>
          <w:b w:val="0"/>
          <w:bCs w:val="0"/>
          <w:sz w:val="24"/>
          <w:szCs w:val="24"/>
          <w:lang w:val="en-GB"/>
        </w:rPr>
      </w:pPr>
    </w:p>
    <w:p>
      <w:pPr>
        <w:jc w:val="both"/>
        <w:rPr>
          <w:rFonts w:hint="default" w:ascii="Times New Roman" w:hAnsi="Times New Roman" w:cs="Times New Roman"/>
          <w:b w:val="0"/>
          <w:bCs w:val="0"/>
          <w:sz w:val="24"/>
          <w:szCs w:val="24"/>
          <w:vertAlign w:val="superscript"/>
          <w:lang w:val="en-GB"/>
        </w:rPr>
      </w:pPr>
      <w:r>
        <w:rPr>
          <w:rFonts w:hint="default" w:ascii="Times New Roman" w:hAnsi="Times New Roman" w:cs="Times New Roman"/>
          <w:b w:val="0"/>
          <w:bCs w:val="0"/>
          <w:sz w:val="24"/>
          <w:szCs w:val="24"/>
          <w:lang w:val="en-GB"/>
        </w:rPr>
        <w:t>Hyperglycemia stimulates fungal proliferation and the diabetic reduction in chemotaxis and phagocytic efficiency permit these otherwise innocuous organisms to thrive in acid-rich environment.</w:t>
      </w:r>
      <w:r>
        <w:rPr>
          <w:rFonts w:hint="default" w:ascii="Times New Roman" w:hAnsi="Times New Roman" w:cs="Times New Roman"/>
          <w:b w:val="0"/>
          <w:bCs w:val="0"/>
          <w:sz w:val="24"/>
          <w:szCs w:val="24"/>
          <w:vertAlign w:val="superscript"/>
          <w:lang w:val="en-GB"/>
        </w:rPr>
        <w:t>1</w:t>
      </w:r>
      <w:r>
        <w:rPr>
          <w:rFonts w:hint="default" w:ascii="Times New Roman" w:hAnsi="Times New Roman" w:cs="Times New Roman"/>
          <w:b w:val="0"/>
          <w:bCs w:val="0"/>
          <w:sz w:val="24"/>
          <w:szCs w:val="24"/>
          <w:lang w:val="en-GB"/>
        </w:rPr>
        <w:t xml:space="preserve"> Diabetic patients have impaired defense mechanism along with increased level of iron in tissues.Iron free environment is essential for proper innate and acquired immune response.Any excess of iron ( iron overload ) would lead to direct damage to natural defense system &amp; an increase in fungal virulence.</w:t>
      </w:r>
      <w:r>
        <w:rPr>
          <w:rFonts w:hint="default" w:ascii="Times New Roman" w:hAnsi="Times New Roman" w:cs="Times New Roman"/>
          <w:b w:val="0"/>
          <w:bCs w:val="0"/>
          <w:sz w:val="24"/>
          <w:szCs w:val="24"/>
          <w:vertAlign w:val="superscript"/>
          <w:lang w:val="en-GB"/>
        </w:rPr>
        <w:t>5</w:t>
      </w:r>
    </w:p>
    <w:p>
      <w:pPr>
        <w:jc w:val="both"/>
        <w:rPr>
          <w:rFonts w:hint="default" w:ascii="Times New Roman" w:hAnsi="Times New Roman" w:cs="Times New Roman"/>
          <w:b w:val="0"/>
          <w:bCs w:val="0"/>
          <w:sz w:val="24"/>
          <w:szCs w:val="24"/>
          <w:lang w:val="en-GB"/>
        </w:rPr>
      </w:pPr>
    </w:p>
    <w:p>
      <w:pPr>
        <w:jc w:val="both"/>
        <w:rPr>
          <w:rFonts w:hint="default" w:ascii="Times New Roman" w:hAnsi="Times New Roman" w:cs="Times New Roman"/>
          <w:b w:val="0"/>
          <w:bCs w:val="0"/>
          <w:sz w:val="24"/>
          <w:szCs w:val="24"/>
          <w:vertAlign w:val="superscript"/>
          <w:lang w:val="en-GB"/>
        </w:rPr>
      </w:pPr>
      <w:r>
        <w:rPr>
          <w:rFonts w:hint="default" w:ascii="Times New Roman" w:hAnsi="Times New Roman" w:cs="Times New Roman"/>
          <w:b w:val="0"/>
          <w:bCs w:val="0"/>
          <w:sz w:val="24"/>
          <w:szCs w:val="24"/>
          <w:lang w:val="en-GB"/>
        </w:rPr>
        <w:t>The National Institute of health recommended the use of dexamethasone ( 6mg/day for a maximum of 10 days) in patients who are ventilated or require supplemental oxygen but not in milder cases. The guidelines specifically mention the risk of developing a secondary infection.</w:t>
      </w:r>
      <w:r>
        <w:rPr>
          <w:rFonts w:hint="default" w:ascii="Times New Roman" w:hAnsi="Times New Roman" w:cs="Times New Roman"/>
          <w:b w:val="0"/>
          <w:bCs w:val="0"/>
          <w:sz w:val="24"/>
          <w:szCs w:val="24"/>
          <w:vertAlign w:val="superscript"/>
          <w:lang w:val="en-GB"/>
        </w:rPr>
        <w:t>3</w:t>
      </w:r>
    </w:p>
    <w:p>
      <w:pPr>
        <w:jc w:val="both"/>
        <w:rPr>
          <w:rFonts w:hint="default" w:ascii="Times New Roman" w:hAnsi="Times New Roman" w:cs="Times New Roman"/>
          <w:b w:val="0"/>
          <w:bCs w:val="0"/>
          <w:sz w:val="24"/>
          <w:szCs w:val="24"/>
          <w:lang w:val="en-GB"/>
        </w:rPr>
      </w:pPr>
    </w:p>
    <w:p>
      <w:pPr>
        <w:jc w:val="both"/>
        <w:rPr>
          <w:rFonts w:hint="default" w:ascii="Times New Roman" w:hAnsi="Times New Roman" w:eastAsia="SimSun" w:cs="Times New Roman"/>
          <w:i w:val="0"/>
          <w:iCs w:val="0"/>
          <w:caps w:val="0"/>
          <w:color w:val="000000"/>
          <w:spacing w:val="0"/>
          <w:sz w:val="24"/>
          <w:szCs w:val="24"/>
          <w:shd w:val="clear" w:fill="FFFFFF"/>
          <w:vertAlign w:val="superscript"/>
          <w:lang w:val="en-GB"/>
        </w:rPr>
      </w:pPr>
      <w:r>
        <w:rPr>
          <w:rFonts w:hint="default" w:ascii="Times New Roman" w:hAnsi="Times New Roman" w:eastAsia="SimSun" w:cs="Times New Roman"/>
          <w:i w:val="0"/>
          <w:iCs w:val="0"/>
          <w:caps w:val="0"/>
          <w:color w:val="000000"/>
          <w:spacing w:val="0"/>
          <w:sz w:val="24"/>
          <w:szCs w:val="24"/>
          <w:shd w:val="clear" w:fill="FFFFFF"/>
        </w:rPr>
        <w:t>There are several hypotheses as to what else may contribute to mucormycosis infections. Some are unlikely, such as the use of industrial oxygen or ventilation systems, age-related immune complications and non-sterile water, whilst others believe that steam inhalation may play a role by impacting the mucosa, in addition to zinc supplementation being a fungal growth promoter</w:t>
      </w:r>
      <w:r>
        <w:rPr>
          <w:rFonts w:hint="default" w:ascii="Times New Roman" w:hAnsi="Times New Roman" w:eastAsia="SimSun" w:cs="Times New Roman"/>
          <w:i w:val="0"/>
          <w:iCs w:val="0"/>
          <w:caps w:val="0"/>
          <w:color w:val="000000"/>
          <w:spacing w:val="0"/>
          <w:sz w:val="24"/>
          <w:szCs w:val="24"/>
          <w:shd w:val="clear" w:fill="FFFFFF"/>
          <w:lang w:val="en-GB"/>
        </w:rPr>
        <w:t>.</w:t>
      </w:r>
      <w:r>
        <w:rPr>
          <w:rFonts w:hint="default" w:ascii="Times New Roman" w:hAnsi="Times New Roman" w:eastAsia="SimSun" w:cs="Times New Roman"/>
          <w:i w:val="0"/>
          <w:iCs w:val="0"/>
          <w:caps w:val="0"/>
          <w:color w:val="000000"/>
          <w:spacing w:val="0"/>
          <w:sz w:val="24"/>
          <w:szCs w:val="24"/>
          <w:shd w:val="clear" w:fill="FFFFFF"/>
          <w:vertAlign w:val="superscript"/>
          <w:lang w:val="en-GB"/>
        </w:rPr>
        <w:t>6</w:t>
      </w:r>
    </w:p>
    <w:p>
      <w:pPr>
        <w:jc w:val="both"/>
        <w:rPr>
          <w:rFonts w:hint="default" w:ascii="Times New Roman" w:hAnsi="Times New Roman" w:eastAsia="SimSun" w:cs="Times New Roman"/>
          <w:i w:val="0"/>
          <w:iCs w:val="0"/>
          <w:caps w:val="0"/>
          <w:color w:val="000000"/>
          <w:spacing w:val="0"/>
          <w:sz w:val="24"/>
          <w:szCs w:val="24"/>
          <w:shd w:val="clear" w:fill="FFFFFF"/>
          <w:lang w:val="en-GB"/>
        </w:rPr>
      </w:pPr>
    </w:p>
    <w:p>
      <w:pPr>
        <w:jc w:val="both"/>
        <w:rPr>
          <w:rFonts w:hint="default" w:ascii="Times New Roman" w:hAnsi="Times New Roman" w:cs="Times New Roman"/>
          <w:b w:val="0"/>
          <w:bCs w:val="0"/>
          <w:sz w:val="24"/>
          <w:szCs w:val="24"/>
          <w:vertAlign w:val="superscript"/>
          <w:lang w:val="en-GB"/>
        </w:rPr>
      </w:pPr>
      <w:r>
        <w:rPr>
          <w:rFonts w:hint="default" w:ascii="Times New Roman" w:hAnsi="Times New Roman" w:cs="Times New Roman"/>
          <w:b w:val="0"/>
          <w:bCs w:val="0"/>
          <w:sz w:val="24"/>
          <w:szCs w:val="24"/>
          <w:lang w:val="en-GB"/>
        </w:rPr>
        <w:t>For any patient who recieved oxygen support during their hospital stay, it becomes essential to observe any black pigmentation in their nostrils or mouth.Even the slightest color change or pigmentation should be reported immediately without neglect. Sanitization of the oxygen supply system in hospitals is also an area of concern.</w:t>
      </w:r>
      <w:r>
        <w:rPr>
          <w:rFonts w:hint="default" w:ascii="Times New Roman" w:hAnsi="Times New Roman" w:cs="Times New Roman"/>
          <w:b w:val="0"/>
          <w:bCs w:val="0"/>
          <w:sz w:val="24"/>
          <w:szCs w:val="24"/>
          <w:vertAlign w:val="superscript"/>
          <w:lang w:val="en-GB"/>
        </w:rPr>
        <w:t>7</w:t>
      </w:r>
    </w:p>
    <w:p>
      <w:pPr>
        <w:jc w:val="both"/>
        <w:rPr>
          <w:rFonts w:hint="default" w:ascii="Times New Roman" w:hAnsi="Times New Roman" w:eastAsia="SimSun" w:cs="Times New Roman"/>
          <w:i w:val="0"/>
          <w:iCs w:val="0"/>
          <w:caps w:val="0"/>
          <w:color w:val="000000"/>
          <w:spacing w:val="0"/>
          <w:sz w:val="24"/>
          <w:szCs w:val="24"/>
          <w:shd w:val="clear" w:fill="FFFFFF"/>
          <w:lang w:val="en-GB"/>
        </w:rPr>
      </w:pPr>
    </w:p>
    <w:p>
      <w:pPr>
        <w:jc w:val="both"/>
        <w:rPr>
          <w:rFonts w:hint="default" w:ascii="Times New Roman" w:hAnsi="Times New Roman" w:cs="Times New Roman"/>
          <w:b w:val="0"/>
          <w:bCs w:val="0"/>
          <w:sz w:val="24"/>
          <w:szCs w:val="24"/>
          <w:vertAlign w:val="superscript"/>
          <w:lang w:val="en-GB"/>
        </w:rPr>
      </w:pPr>
      <w:r>
        <w:rPr>
          <w:rFonts w:hint="default" w:ascii="Times New Roman" w:hAnsi="Times New Roman" w:cs="Times New Roman"/>
          <w:b w:val="0"/>
          <w:bCs w:val="0"/>
          <w:sz w:val="24"/>
          <w:szCs w:val="24"/>
          <w:lang w:val="en-GB"/>
        </w:rPr>
        <w:t>The health ministry in its advisory has instructed the hospitals to provide a pamphlet of mucormycosis related symptoms,cure and preventive measures along with the discharge papers (ICMR,2021).</w:t>
      </w:r>
      <w:r>
        <w:rPr>
          <w:rFonts w:hint="default" w:ascii="Times New Roman" w:hAnsi="Times New Roman" w:cs="Times New Roman"/>
          <w:b w:val="0"/>
          <w:bCs w:val="0"/>
          <w:sz w:val="24"/>
          <w:szCs w:val="24"/>
          <w:vertAlign w:val="superscript"/>
          <w:lang w:val="en-GB"/>
        </w:rPr>
        <w:t>7</w:t>
      </w:r>
    </w:p>
    <w:p>
      <w:pPr>
        <w:jc w:val="both"/>
        <w:rPr>
          <w:rFonts w:hint="default" w:ascii="Times New Roman" w:hAnsi="Times New Roman" w:eastAsia="SimSun" w:cs="Times New Roman"/>
          <w:i w:val="0"/>
          <w:iCs w:val="0"/>
          <w:caps w:val="0"/>
          <w:color w:val="000000"/>
          <w:spacing w:val="0"/>
          <w:sz w:val="24"/>
          <w:szCs w:val="24"/>
          <w:shd w:val="clear" w:fill="FFFFFF"/>
        </w:rPr>
      </w:pPr>
    </w:p>
    <w:p>
      <w:pPr>
        <w:jc w:val="both"/>
        <w:rPr>
          <w:rFonts w:hint="default" w:ascii="Times New Roman" w:hAnsi="Times New Roman" w:eastAsia="SimSun" w:cs="Times New Roman"/>
          <w:i w:val="0"/>
          <w:iCs w:val="0"/>
          <w:caps w:val="0"/>
          <w:color w:val="000000"/>
          <w:spacing w:val="0"/>
          <w:sz w:val="24"/>
          <w:szCs w:val="24"/>
          <w:shd w:val="clear" w:fill="FFFFFF"/>
        </w:rPr>
      </w:pPr>
      <w:r>
        <w:rPr>
          <w:rFonts w:hint="default" w:ascii="Times New Roman" w:hAnsi="Times New Roman" w:eastAsia="SimSun" w:cs="Times New Roman"/>
          <w:i w:val="0"/>
          <w:iCs w:val="0"/>
          <w:caps w:val="0"/>
          <w:color w:val="000000"/>
          <w:spacing w:val="0"/>
          <w:sz w:val="24"/>
          <w:szCs w:val="24"/>
          <w:shd w:val="clear" w:fill="FFFFFF"/>
        </w:rPr>
        <w:t xml:space="preserve">In the case of hospitalised COVID-19 patients,especially aging people and those with severe symptoms who require a ventilator, corticosteroids are given in an attempt to alleviate some of the symptoms. However, steroids are known to lower immunity and raise blood sugar levels, and they tend to increase clotting factors and fibrinogen concentrations in patients. This situation provides an opportunity for pathogens to evade the human immune system and infect the host. According to a recent study, the number of cases of mucormycosis (also known as zygomycosis, black fungus) have </w:t>
      </w:r>
    </w:p>
    <w:p>
      <w:pPr>
        <w:jc w:val="both"/>
        <w:rPr>
          <w:rFonts w:hint="default" w:ascii="Times New Roman" w:hAnsi="Times New Roman" w:eastAsia="SimSun" w:cs="Times New Roman"/>
          <w:i w:val="0"/>
          <w:iCs w:val="0"/>
          <w:caps w:val="0"/>
          <w:color w:val="000000"/>
          <w:spacing w:val="0"/>
          <w:sz w:val="24"/>
          <w:szCs w:val="24"/>
          <w:shd w:val="clear" w:fill="FFFFFF"/>
        </w:rPr>
      </w:pPr>
    </w:p>
    <w:p>
      <w:pPr>
        <w:jc w:val="both"/>
        <w:rPr>
          <w:rFonts w:hint="default" w:ascii="Times New Roman" w:hAnsi="Times New Roman" w:cs="Times New Roman"/>
          <w:b/>
          <w:bCs/>
          <w:sz w:val="24"/>
          <w:szCs w:val="24"/>
          <w:vertAlign w:val="superscript"/>
          <w:lang w:val="en-GB"/>
        </w:rPr>
      </w:pPr>
      <w:r>
        <w:rPr>
          <w:rFonts w:hint="default" w:ascii="Times New Roman" w:hAnsi="Times New Roman" w:eastAsia="SimSun" w:cs="Times New Roman"/>
          <w:i w:val="0"/>
          <w:iCs w:val="0"/>
          <w:caps w:val="0"/>
          <w:color w:val="000000"/>
          <w:spacing w:val="0"/>
          <w:sz w:val="24"/>
          <w:szCs w:val="24"/>
          <w:shd w:val="clear" w:fill="FFFFFF"/>
        </w:rPr>
        <w:t>increased in COVID-19 patients who are either hospitalised or have recovered</w:t>
      </w:r>
      <w:r>
        <w:rPr>
          <w:rFonts w:hint="default" w:ascii="Times New Roman" w:hAnsi="Times New Roman" w:eastAsia="SimSun" w:cs="Times New Roman"/>
          <w:i w:val="0"/>
          <w:iCs w:val="0"/>
          <w:caps w:val="0"/>
          <w:color w:val="000000"/>
          <w:spacing w:val="0"/>
          <w:sz w:val="24"/>
          <w:szCs w:val="24"/>
          <w:shd w:val="clear" w:fill="FFFFFF"/>
          <w:lang w:val="en-GB"/>
        </w:rPr>
        <w:t>. It is a potentially lethal infection occuring primarily in immunocompromised patients particularly in those with diabetes mellitus.</w:t>
      </w:r>
      <w:r>
        <w:rPr>
          <w:rFonts w:hint="default" w:ascii="Times New Roman" w:hAnsi="Times New Roman" w:eastAsia="SimSun" w:cs="Times New Roman"/>
          <w:i w:val="0"/>
          <w:iCs w:val="0"/>
          <w:caps w:val="0"/>
          <w:color w:val="000000"/>
          <w:spacing w:val="0"/>
          <w:sz w:val="24"/>
          <w:szCs w:val="24"/>
          <w:shd w:val="clear" w:fill="FFFFFF"/>
          <w:vertAlign w:val="superscript"/>
          <w:lang w:val="en-GB"/>
        </w:rPr>
        <w:t>6</w:t>
      </w:r>
    </w:p>
    <w:p>
      <w:pPr>
        <w:jc w:val="both"/>
        <w:rPr>
          <w:rFonts w:hint="default" w:ascii="Times New Roman" w:hAnsi="Times New Roman" w:cs="Times New Roman"/>
          <w:b w:val="0"/>
          <w:bCs w:val="0"/>
          <w:sz w:val="24"/>
          <w:szCs w:val="24"/>
          <w:lang w:val="en-GB"/>
        </w:rPr>
      </w:pPr>
      <w:r>
        <w:rPr>
          <w:rFonts w:hint="default" w:ascii="Times New Roman" w:hAnsi="Times New Roman" w:cs="Times New Roman"/>
          <w:b w:val="0"/>
          <w:bCs w:val="0"/>
          <w:sz w:val="24"/>
          <w:szCs w:val="24"/>
          <w:lang w:val="en-GB"/>
        </w:rPr>
        <w:t>Timely intervention and recognising the fatal infection at an early stage will potentially reduce the mortality and morbidity rate in mucormycosis cases.</w:t>
      </w:r>
    </w:p>
    <w:p>
      <w:pPr>
        <w:jc w:val="both"/>
        <w:rPr>
          <w:rFonts w:hint="default" w:ascii="Times New Roman" w:hAnsi="Times New Roman" w:cs="Times New Roman"/>
          <w:b w:val="0"/>
          <w:bCs w:val="0"/>
          <w:sz w:val="24"/>
          <w:szCs w:val="24"/>
          <w:lang w:val="en-GB"/>
        </w:rPr>
      </w:pPr>
    </w:p>
    <w:p>
      <w:pPr>
        <w:jc w:val="both"/>
        <w:rPr>
          <w:rFonts w:hint="default" w:ascii="Times New Roman" w:hAnsi="Times New Roman" w:cs="Times New Roman"/>
          <w:b/>
          <w:bCs/>
          <w:sz w:val="28"/>
          <w:szCs w:val="28"/>
          <w:lang w:val="en-GB"/>
        </w:rPr>
      </w:pPr>
      <w:r>
        <w:rPr>
          <w:rFonts w:hint="default" w:ascii="Times New Roman" w:hAnsi="Times New Roman" w:cs="Times New Roman"/>
          <w:b/>
          <w:bCs/>
          <w:sz w:val="28"/>
          <w:szCs w:val="28"/>
          <w:lang w:val="en-GB"/>
        </w:rPr>
        <w:t>CONCLUSION:</w:t>
      </w:r>
    </w:p>
    <w:p>
      <w:pPr>
        <w:jc w:val="both"/>
        <w:rPr>
          <w:rFonts w:hint="default" w:ascii="Times New Roman" w:hAnsi="Times New Roman" w:eastAsia="SimSun" w:cs="Times New Roman"/>
          <w:i w:val="0"/>
          <w:iCs w:val="0"/>
          <w:caps w:val="0"/>
          <w:color w:val="000000"/>
          <w:spacing w:val="0"/>
          <w:sz w:val="16"/>
          <w:szCs w:val="16"/>
          <w:shd w:val="clear" w:fill="FFFFFF"/>
        </w:rPr>
      </w:pPr>
    </w:p>
    <w:p>
      <w:pPr>
        <w:jc w:val="both"/>
        <w:rPr>
          <w:rFonts w:hint="default" w:ascii="Times New Roman" w:hAnsi="Times New Roman" w:cs="Times New Roman"/>
          <w:b w:val="0"/>
          <w:bCs w:val="0"/>
          <w:sz w:val="24"/>
          <w:szCs w:val="24"/>
          <w:vertAlign w:val="superscript"/>
          <w:lang w:val="en-GB"/>
        </w:rPr>
      </w:pPr>
      <w:r>
        <w:rPr>
          <w:rFonts w:hint="default" w:ascii="Times New Roman" w:hAnsi="Times New Roman" w:eastAsia="SimSun" w:cs="Times New Roman"/>
          <w:i w:val="0"/>
          <w:iCs w:val="0"/>
          <w:caps w:val="0"/>
          <w:color w:val="000000"/>
          <w:spacing w:val="0"/>
          <w:sz w:val="24"/>
          <w:szCs w:val="24"/>
          <w:shd w:val="clear" w:fill="FFFFFF"/>
        </w:rPr>
        <w:t xml:space="preserve">It is imperative for health professionals to be on the lookout for mucormycosis in COVID-19 patients, particularly those with diabetes, aging people, and those with </w:t>
      </w:r>
      <w:r>
        <w:rPr>
          <w:rFonts w:hint="default" w:ascii="Times New Roman" w:hAnsi="Times New Roman" w:eastAsia="SimSun" w:cs="Times New Roman"/>
          <w:i w:val="0"/>
          <w:iCs w:val="0"/>
          <w:caps w:val="0"/>
          <w:color w:val="000000"/>
          <w:spacing w:val="0"/>
          <w:sz w:val="24"/>
          <w:szCs w:val="24"/>
          <w:shd w:val="clear" w:fill="FFFFFF"/>
          <w:lang w:val="en-GB"/>
        </w:rPr>
        <w:t>multiple</w:t>
      </w:r>
      <w:r>
        <w:rPr>
          <w:rFonts w:hint="default" w:ascii="Times New Roman" w:hAnsi="Times New Roman" w:eastAsia="SimSun" w:cs="Times New Roman"/>
          <w:i w:val="0"/>
          <w:iCs w:val="0"/>
          <w:caps w:val="0"/>
          <w:color w:val="000000"/>
          <w:spacing w:val="0"/>
          <w:sz w:val="24"/>
          <w:szCs w:val="24"/>
          <w:shd w:val="clear" w:fill="FFFFFF"/>
        </w:rPr>
        <w:t xml:space="preserve"> sinus drainage. India has contributed to almost 70% of the global cases of mucormycosis since the emergence of COVID-19. The rise in mucormycosis in India reflects the triumvirate of diabetes, widespread corticosteroid</w:t>
      </w:r>
      <w:r>
        <w:rPr>
          <w:rFonts w:hint="default" w:ascii="Times New Roman" w:hAnsi="Times New Roman" w:eastAsia="SimSun" w:cs="Times New Roman"/>
          <w:i w:val="0"/>
          <w:iCs w:val="0"/>
          <w:caps w:val="0"/>
          <w:color w:val="000000"/>
          <w:spacing w:val="0"/>
          <w:sz w:val="24"/>
          <w:szCs w:val="24"/>
          <w:shd w:val="clear" w:fill="FFFFFF"/>
          <w:lang w:val="en-GB"/>
        </w:rPr>
        <w:t xml:space="preserve"> and oxygen</w:t>
      </w:r>
      <w:r>
        <w:rPr>
          <w:rFonts w:hint="default" w:ascii="Times New Roman" w:hAnsi="Times New Roman" w:eastAsia="SimSun" w:cs="Times New Roman"/>
          <w:i w:val="0"/>
          <w:iCs w:val="0"/>
          <w:caps w:val="0"/>
          <w:color w:val="000000"/>
          <w:spacing w:val="0"/>
          <w:sz w:val="24"/>
          <w:szCs w:val="24"/>
          <w:shd w:val="clear" w:fill="FFFFFF"/>
        </w:rPr>
        <w:t xml:space="preserve"> use.All steps should be taken cautiously in order to maintain optimal blood glucose levels, and with sensible assessment-based corticosteroid usage.</w:t>
      </w:r>
      <w:r>
        <w:rPr>
          <w:rFonts w:hint="default" w:ascii="Times New Roman" w:hAnsi="Times New Roman" w:eastAsia="SimSun" w:cs="Times New Roman"/>
          <w:i w:val="0"/>
          <w:iCs w:val="0"/>
          <w:caps w:val="0"/>
          <w:color w:val="000000"/>
          <w:spacing w:val="0"/>
          <w:sz w:val="24"/>
          <w:szCs w:val="24"/>
          <w:shd w:val="clear" w:fill="FFFFFF"/>
          <w:vertAlign w:val="superscript"/>
          <w:lang w:val="en-GB"/>
        </w:rPr>
        <w:t xml:space="preserve">6 </w:t>
      </w:r>
      <w:r>
        <w:rPr>
          <w:rFonts w:hint="default" w:ascii="Times New Roman" w:hAnsi="Times New Roman" w:cs="Times New Roman"/>
          <w:b w:val="0"/>
          <w:bCs w:val="0"/>
          <w:sz w:val="24"/>
          <w:szCs w:val="24"/>
          <w:lang w:val="en-GB"/>
        </w:rPr>
        <w:t>Successful management of mucormycosis largely depends on early diagnosis,reversal of underlying predisposing factors,prompt and ideally broad surgical debridement of infected tissue and rapid administration of systemic antifungal therapy.</w:t>
      </w:r>
      <w:r>
        <w:rPr>
          <w:rFonts w:hint="default" w:ascii="Times New Roman" w:hAnsi="Times New Roman" w:cs="Times New Roman"/>
          <w:b w:val="0"/>
          <w:bCs w:val="0"/>
          <w:sz w:val="24"/>
          <w:szCs w:val="24"/>
          <w:vertAlign w:val="superscript"/>
          <w:lang w:val="en-GB"/>
        </w:rPr>
        <w:t>5</w:t>
      </w:r>
    </w:p>
    <w:p>
      <w:pPr>
        <w:jc w:val="both"/>
        <w:rPr>
          <w:rFonts w:hint="default" w:ascii="Times New Roman" w:hAnsi="Times New Roman" w:cs="Times New Roman"/>
          <w:b/>
          <w:bCs/>
          <w:sz w:val="24"/>
          <w:szCs w:val="24"/>
          <w:lang w:val="en-GB"/>
        </w:rPr>
      </w:pPr>
    </w:p>
    <w:p>
      <w:pPr>
        <w:jc w:val="both"/>
        <w:rPr>
          <w:rFonts w:hint="default" w:ascii="Times New Roman" w:hAnsi="Times New Roman" w:cs="Times New Roman"/>
          <w:b/>
          <w:bCs/>
          <w:sz w:val="28"/>
          <w:szCs w:val="28"/>
          <w:lang w:val="en-GB"/>
        </w:rPr>
      </w:pPr>
    </w:p>
    <w:p>
      <w:pPr>
        <w:jc w:val="both"/>
        <w:rPr>
          <w:rFonts w:hint="default" w:ascii="Times New Roman" w:hAnsi="Times New Roman" w:cs="Times New Roman"/>
          <w:b/>
          <w:bCs/>
          <w:sz w:val="28"/>
          <w:szCs w:val="28"/>
          <w:lang w:val="en-GB"/>
        </w:rPr>
      </w:pPr>
      <w:r>
        <w:rPr>
          <w:rFonts w:hint="default" w:ascii="Times New Roman" w:hAnsi="Times New Roman" w:cs="Times New Roman"/>
          <w:b/>
          <w:bCs/>
          <w:sz w:val="28"/>
          <w:szCs w:val="28"/>
          <w:lang w:val="en-GB"/>
        </w:rPr>
        <w:t>REFERENCES :</w:t>
      </w:r>
    </w:p>
    <w:p>
      <w:pPr>
        <w:jc w:val="both"/>
        <w:rPr>
          <w:rFonts w:hint="default" w:ascii="Times New Roman" w:hAnsi="Times New Roman" w:cs="Times New Roman"/>
          <w:b/>
          <w:bCs/>
          <w:sz w:val="28"/>
          <w:szCs w:val="28"/>
          <w:lang w:val="en-GB"/>
        </w:rPr>
      </w:pPr>
    </w:p>
    <w:p>
      <w:pPr>
        <w:numPr>
          <w:ilvl w:val="0"/>
          <w:numId w:val="2"/>
        </w:numPr>
        <w:ind w:left="425" w:leftChars="0" w:hanging="425" w:firstLineChars="0"/>
        <w:jc w:val="both"/>
        <w:rPr>
          <w:rFonts w:hint="default" w:ascii="Times New Roman" w:hAnsi="Times New Roman" w:cs="Times New Roman"/>
          <w:b/>
          <w:bCs/>
          <w:sz w:val="28"/>
          <w:szCs w:val="28"/>
          <w:lang w:val="en-GB"/>
        </w:rPr>
      </w:pPr>
      <w:r>
        <w:rPr>
          <w:rFonts w:hint="default" w:ascii="Times New Roman" w:hAnsi="Times New Roman"/>
          <w:b w:val="0"/>
          <w:bCs w:val="0"/>
          <w:sz w:val="24"/>
          <w:szCs w:val="24"/>
          <w:lang w:val="en-GB"/>
        </w:rPr>
        <w:t>Ambereen A, Rahman SA, Rehman S, Zaidi K, Arif SH. Mandibular mucormycosis following SARS-CoV-2 infection–A case report and review of literature. Clinical Infection in Practice. 2021 Nov;12:100099</w:t>
      </w:r>
    </w:p>
    <w:p>
      <w:pPr>
        <w:numPr>
          <w:ilvl w:val="0"/>
          <w:numId w:val="2"/>
        </w:numPr>
        <w:ind w:left="425" w:leftChars="0" w:hanging="425" w:firstLineChars="0"/>
        <w:jc w:val="both"/>
        <w:rPr>
          <w:rFonts w:hint="default" w:ascii="Times New Roman" w:hAnsi="Times New Roman" w:cs="Times New Roman"/>
          <w:b w:val="0"/>
          <w:bCs w:val="0"/>
          <w:sz w:val="24"/>
          <w:szCs w:val="24"/>
          <w:lang w:val="en-GB"/>
        </w:rPr>
      </w:pPr>
      <w:r>
        <w:rPr>
          <w:rFonts w:hint="default" w:ascii="Times New Roman" w:hAnsi="Times New Roman" w:eastAsia="SimSun" w:cs="Times New Roman"/>
          <w:i w:val="0"/>
          <w:iCs w:val="0"/>
          <w:caps w:val="0"/>
          <w:color w:val="222222"/>
          <w:spacing w:val="0"/>
          <w:sz w:val="24"/>
          <w:szCs w:val="24"/>
          <w:shd w:val="clear" w:fill="FFFFFF"/>
        </w:rPr>
        <w:t>Prakash H, Chakrabarti A. Global epidemiology of mucormycosis. Journal of Fungi. 2019 Mar;5(1):26.</w:t>
      </w:r>
    </w:p>
    <w:p>
      <w:pPr>
        <w:numPr>
          <w:ilvl w:val="0"/>
          <w:numId w:val="2"/>
        </w:numPr>
        <w:ind w:left="425" w:leftChars="0" w:hanging="425" w:firstLineChars="0"/>
        <w:jc w:val="both"/>
        <w:rPr>
          <w:rFonts w:hint="default" w:ascii="Times New Roman" w:hAnsi="Times New Roman" w:cs="Times New Roman"/>
          <w:b w:val="0"/>
          <w:bCs w:val="0"/>
          <w:sz w:val="24"/>
          <w:szCs w:val="24"/>
          <w:lang w:val="en-GB"/>
        </w:rPr>
      </w:pPr>
      <w:r>
        <w:rPr>
          <w:rFonts w:hint="default" w:ascii="Times New Roman" w:hAnsi="Times New Roman" w:eastAsia="SimSun" w:cs="Times New Roman"/>
          <w:i w:val="0"/>
          <w:iCs w:val="0"/>
          <w:caps w:val="0"/>
          <w:color w:val="222222"/>
          <w:spacing w:val="0"/>
          <w:sz w:val="24"/>
          <w:szCs w:val="24"/>
          <w:shd w:val="clear" w:fill="FFFFFF"/>
        </w:rPr>
        <w:t>Salil M, Abha P. Rhino-Orbital Mucormycosis Associated With COVID-19. Cureus. 2020;12(9).</w:t>
      </w:r>
    </w:p>
    <w:p>
      <w:pPr>
        <w:numPr>
          <w:ilvl w:val="0"/>
          <w:numId w:val="2"/>
        </w:numPr>
        <w:ind w:left="425" w:leftChars="0" w:hanging="425" w:firstLineChars="0"/>
        <w:jc w:val="both"/>
        <w:rPr>
          <w:rFonts w:hint="default" w:ascii="Times New Roman" w:hAnsi="Times New Roman" w:cs="Times New Roman"/>
          <w:b w:val="0"/>
          <w:bCs w:val="0"/>
          <w:sz w:val="24"/>
          <w:szCs w:val="24"/>
          <w:lang w:val="en-GB"/>
        </w:rPr>
      </w:pPr>
      <w:r>
        <w:rPr>
          <w:rFonts w:hint="default" w:ascii="Times New Roman" w:hAnsi="Times New Roman" w:eastAsia="SimSun" w:cs="Times New Roman"/>
          <w:i w:val="0"/>
          <w:iCs w:val="0"/>
          <w:caps w:val="0"/>
          <w:color w:val="222222"/>
          <w:spacing w:val="0"/>
          <w:sz w:val="24"/>
          <w:szCs w:val="24"/>
          <w:shd w:val="clear" w:fill="FFFFFF"/>
        </w:rPr>
        <w:t>Pathak K, Karadwal A, Nayak P, Nayak S. Mucormycosis in Post Covid Patient-A Case Report. Indian Journal of Forensic Medicine &amp; Toxicology. 2021 Jul 1;15(3):241</w:t>
      </w:r>
    </w:p>
    <w:p>
      <w:pPr>
        <w:numPr>
          <w:ilvl w:val="0"/>
          <w:numId w:val="2"/>
        </w:numPr>
        <w:ind w:left="425" w:leftChars="0" w:hanging="425" w:firstLineChars="0"/>
        <w:jc w:val="both"/>
        <w:rPr>
          <w:rFonts w:hint="default" w:ascii="Times New Roman" w:hAnsi="Times New Roman" w:cs="Times New Roman"/>
          <w:b w:val="0"/>
          <w:bCs w:val="0"/>
          <w:sz w:val="24"/>
          <w:szCs w:val="24"/>
          <w:lang w:val="en-GB"/>
        </w:rPr>
      </w:pPr>
      <w:r>
        <w:rPr>
          <w:rFonts w:hint="default" w:ascii="Times New Roman" w:hAnsi="Times New Roman" w:eastAsia="SimSun" w:cs="Times New Roman"/>
          <w:i w:val="0"/>
          <w:iCs w:val="0"/>
          <w:caps w:val="0"/>
          <w:color w:val="222222"/>
          <w:spacing w:val="0"/>
          <w:sz w:val="24"/>
          <w:szCs w:val="24"/>
          <w:shd w:val="clear" w:fill="FFFFFF"/>
        </w:rPr>
        <w:t>Oswal NP, Gadre PK, Sathe P, Gadre KS. Mucormycosis of mandible with unfavorable outcome. Case reports in dentistry. 2012 Jun 20;2012.</w:t>
      </w:r>
    </w:p>
    <w:p>
      <w:pPr>
        <w:numPr>
          <w:ilvl w:val="0"/>
          <w:numId w:val="2"/>
        </w:numPr>
        <w:ind w:left="425" w:leftChars="0" w:hanging="425" w:firstLineChars="0"/>
        <w:jc w:val="both"/>
        <w:rPr>
          <w:rFonts w:hint="default" w:ascii="Times New Roman" w:hAnsi="Times New Roman" w:cs="Times New Roman"/>
          <w:b w:val="0"/>
          <w:bCs w:val="0"/>
          <w:sz w:val="24"/>
          <w:szCs w:val="24"/>
          <w:lang w:val="en-GB"/>
        </w:rPr>
      </w:pPr>
      <w:r>
        <w:rPr>
          <w:rFonts w:hint="default" w:ascii="Times New Roman" w:hAnsi="Times New Roman" w:eastAsia="SimSun" w:cs="Times New Roman"/>
          <w:i w:val="0"/>
          <w:iCs w:val="0"/>
          <w:caps w:val="0"/>
          <w:color w:val="222222"/>
          <w:spacing w:val="0"/>
          <w:sz w:val="24"/>
          <w:szCs w:val="24"/>
          <w:shd w:val="clear" w:fill="FFFFFF"/>
        </w:rPr>
        <w:t>Chavda VP, Apostolopoulos V. Mucormycosis–An opportunistic infection in the aged immunocompromised individual: A reason for concern in COVID-19. Maturitas. 2021 Dec 1;154:58-61.</w:t>
      </w:r>
    </w:p>
    <w:p>
      <w:pPr>
        <w:numPr>
          <w:ilvl w:val="0"/>
          <w:numId w:val="2"/>
        </w:numPr>
        <w:ind w:left="425" w:leftChars="0" w:hanging="425" w:firstLineChars="0"/>
        <w:jc w:val="both"/>
        <w:rPr>
          <w:rFonts w:hint="default" w:ascii="Times New Roman" w:hAnsi="Times New Roman" w:cs="Times New Roman"/>
          <w:b/>
          <w:bCs/>
          <w:sz w:val="24"/>
          <w:szCs w:val="24"/>
          <w:lang w:val="en-GB"/>
        </w:rPr>
      </w:pPr>
      <w:r>
        <w:rPr>
          <w:rFonts w:hint="default" w:ascii="Times New Roman" w:hAnsi="Times New Roman" w:eastAsia="SimSun" w:cs="Times New Roman"/>
          <w:i w:val="0"/>
          <w:iCs w:val="0"/>
          <w:caps w:val="0"/>
          <w:color w:val="222222"/>
          <w:spacing w:val="0"/>
          <w:sz w:val="24"/>
          <w:szCs w:val="24"/>
          <w:shd w:val="clear" w:fill="FFFFFF"/>
        </w:rPr>
        <w:t>Nambiar M, Varma SR, Damdoum M. Post-Covid alliance-mucormycosis, a fatal sequel to the pandemic in India. Saudi Journal of Biological Sciences. 2021 Nov 1;28(11):6461-4.</w:t>
      </w:r>
    </w:p>
    <w:p>
      <w:pPr>
        <w:numPr>
          <w:ilvl w:val="0"/>
          <w:numId w:val="0"/>
        </w:numPr>
        <w:ind w:leftChars="0"/>
        <w:jc w:val="both"/>
        <w:rPr>
          <w:rFonts w:hint="default" w:ascii="Times New Roman" w:hAnsi="Times New Roman" w:cs="Times New Roman"/>
          <w:b/>
          <w:bCs/>
          <w:sz w:val="24"/>
          <w:szCs w:val="24"/>
          <w:lang w:val="en-GB"/>
        </w:rPr>
      </w:pPr>
    </w:p>
    <w:p>
      <w:pPr>
        <w:jc w:val="both"/>
        <w:rPr>
          <w:rFonts w:hint="default" w:ascii="Times New Roman" w:hAnsi="Times New Roman" w:cs="Times New Roman"/>
          <w:b w:val="0"/>
          <w:bCs w:val="0"/>
          <w:sz w:val="24"/>
          <w:szCs w:val="24"/>
          <w:lang w:val="en-GB"/>
        </w:rPr>
      </w:pPr>
    </w:p>
    <w:p>
      <w:pPr>
        <w:jc w:val="both"/>
        <w:rPr>
          <w:rFonts w:hint="default" w:ascii="Times New Roman" w:hAnsi="Times New Roman" w:cs="Times New Roman"/>
          <w:b w:val="0"/>
          <w:bCs w:val="0"/>
          <w:sz w:val="24"/>
          <w:szCs w:val="24"/>
          <w:lang w:val="en-GB"/>
        </w:rPr>
      </w:pPr>
    </w:p>
    <w:p>
      <w:pPr>
        <w:jc w:val="both"/>
        <w:rPr>
          <w:rFonts w:hint="default" w:ascii="Times New Roman" w:hAnsi="Times New Roman" w:cs="Times New Roman"/>
          <w:b w:val="0"/>
          <w:bCs w:val="0"/>
          <w:sz w:val="24"/>
          <w:szCs w:val="24"/>
          <w:lang w:val="en-GB"/>
        </w:rPr>
      </w:pPr>
    </w:p>
    <w:p>
      <w:pPr>
        <w:jc w:val="both"/>
        <w:rPr>
          <w:rFonts w:hint="default" w:ascii="Times New Roman" w:hAnsi="Times New Roman" w:cs="Times New Roman"/>
          <w:b w:val="0"/>
          <w:bCs w:val="0"/>
          <w:sz w:val="24"/>
          <w:szCs w:val="24"/>
          <w:lang w:val="en-GB"/>
        </w:rPr>
      </w:pPr>
    </w:p>
    <w:p>
      <w:pPr>
        <w:jc w:val="both"/>
        <w:rPr>
          <w:rFonts w:hint="default" w:ascii="Times New Roman" w:hAnsi="Times New Roman" w:cs="Times New Roman"/>
          <w:b w:val="0"/>
          <w:bCs w:val="0"/>
          <w:sz w:val="24"/>
          <w:szCs w:val="24"/>
          <w:lang w:val="en-GB"/>
        </w:rPr>
      </w:pPr>
    </w:p>
    <w:p>
      <w:pPr>
        <w:jc w:val="both"/>
        <w:rPr>
          <w:rFonts w:hint="default" w:ascii="Times New Roman" w:hAnsi="Times New Roman" w:cs="Times New Roman"/>
          <w:b w:val="0"/>
          <w:bCs w:val="0"/>
          <w:sz w:val="24"/>
          <w:szCs w:val="24"/>
          <w:lang w:val="en-GB"/>
        </w:rPr>
      </w:pPr>
    </w:p>
    <w:p>
      <w:pPr>
        <w:jc w:val="both"/>
        <w:rPr>
          <w:rFonts w:hint="default" w:ascii="Times New Roman" w:hAnsi="Times New Roman" w:cs="Times New Roman"/>
          <w:b w:val="0"/>
          <w:bCs w:val="0"/>
          <w:sz w:val="24"/>
          <w:szCs w:val="24"/>
          <w:lang w:val="en-GB"/>
        </w:rPr>
      </w:pPr>
    </w:p>
    <w:p>
      <w:pPr>
        <w:jc w:val="both"/>
        <w:rPr>
          <w:rFonts w:hint="default" w:ascii="Times New Roman" w:hAnsi="Times New Roman" w:cs="Times New Roman"/>
          <w:b w:val="0"/>
          <w:bCs w:val="0"/>
          <w:sz w:val="24"/>
          <w:szCs w:val="24"/>
          <w:lang w:val="en-GB"/>
        </w:rPr>
      </w:pPr>
    </w:p>
    <w:p>
      <w:pPr>
        <w:jc w:val="both"/>
        <w:rPr>
          <w:rFonts w:hint="default" w:ascii="Times New Roman" w:hAnsi="Times New Roman" w:cs="Times New Roman"/>
          <w:b w:val="0"/>
          <w:bCs w:val="0"/>
          <w:sz w:val="24"/>
          <w:szCs w:val="24"/>
          <w:lang w:val="en-GB"/>
        </w:rPr>
      </w:pPr>
    </w:p>
    <w:p>
      <w:pPr>
        <w:jc w:val="both"/>
        <w:rPr>
          <w:rFonts w:hint="default" w:ascii="Times New Roman" w:hAnsi="Times New Roman" w:cs="Times New Roman"/>
          <w:b w:val="0"/>
          <w:bCs w:val="0"/>
          <w:sz w:val="24"/>
          <w:szCs w:val="24"/>
          <w:lang w:val="en-GB"/>
        </w:rPr>
      </w:pPr>
    </w:p>
    <w:p>
      <w:pPr>
        <w:jc w:val="both"/>
        <w:rPr>
          <w:rFonts w:hint="default" w:ascii="Times New Roman" w:hAnsi="Times New Roman" w:cs="Times New Roman"/>
          <w:b w:val="0"/>
          <w:bCs w:val="0"/>
          <w:sz w:val="24"/>
          <w:szCs w:val="24"/>
          <w:lang w:val="en-GB"/>
        </w:rPr>
      </w:pPr>
    </w:p>
    <w:sectPr>
      <w:pgSz w:w="11906" w:h="16838"/>
      <w:pgMar w:top="1440" w:right="1800" w:bottom="1440" w:left="1800" w:header="720" w:footer="720" w:gutter="0"/>
      <w:cols w:space="0" w:num="1"/>
      <w:rtlGutter w:val="0"/>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0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黑体">
    <w:altName w:val="SimSun"/>
    <w:panose1 w:val="02010600030101010101"/>
    <w:charset w:val="86"/>
    <w:family w:val="auto"/>
    <w:pitch w:val="default"/>
    <w:sig w:usb0="00000001" w:usb1="080E0000" w:usb2="00000010" w:usb3="00000000" w:csb0="00040000" w:csb1="00000000"/>
  </w:font>
  <w:font w:name="Courier New">
    <w:panose1 w:val="02070309020205020404"/>
    <w:charset w:val="00"/>
    <w:family w:val="modern"/>
    <w:pitch w:val="default"/>
    <w:sig w:usb0="E0002EFF" w:usb1="C0007843" w:usb2="00000009" w:usb3="00000000" w:csb0="400001FF" w:csb1="FFFF0000"/>
  </w:font>
  <w:font w:name="Wingdings">
    <w:panose1 w:val="05000000000000000000"/>
    <w:charset w:val="02"/>
    <w:family w:val="auto"/>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1CFAEA1"/>
    <w:multiLevelType w:val="singleLevel"/>
    <w:tmpl w:val="21CFAEA1"/>
    <w:lvl w:ilvl="0" w:tentative="0">
      <w:start w:val="1"/>
      <w:numFmt w:val="decimal"/>
      <w:lvlText w:val="%1."/>
      <w:lvlJc w:val="left"/>
      <w:pPr>
        <w:tabs>
          <w:tab w:val="left" w:pos="425"/>
        </w:tabs>
        <w:ind w:left="425" w:leftChars="0" w:hanging="425" w:firstLineChars="0"/>
      </w:pPr>
      <w:rPr>
        <w:rFonts w:hint="default"/>
      </w:rPr>
    </w:lvl>
  </w:abstractNum>
  <w:abstractNum w:abstractNumId="1">
    <w:nsid w:val="317EF862"/>
    <w:multiLevelType w:val="singleLevel"/>
    <w:tmpl w:val="317EF862"/>
    <w:lvl w:ilvl="0" w:tentative="0">
      <w:start w:val="1"/>
      <w:numFmt w:val="bullet"/>
      <w:lvlText w:val=""/>
      <w:lvlJc w:val="left"/>
      <w:pPr>
        <w:tabs>
          <w:tab w:val="left" w:pos="420"/>
        </w:tabs>
        <w:ind w:left="420" w:leftChars="0" w:hanging="420" w:firstLineChars="0"/>
      </w:pPr>
      <w:rPr>
        <w:rFonts w:hint="default" w:ascii="Wingdings" w:hAnsi="Wingdings"/>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14FA4382"/>
    <w:rsid w:val="00050A31"/>
    <w:rsid w:val="000716D2"/>
    <w:rsid w:val="00071AAB"/>
    <w:rsid w:val="000B76C4"/>
    <w:rsid w:val="000C5610"/>
    <w:rsid w:val="000E6552"/>
    <w:rsid w:val="000F3A4F"/>
    <w:rsid w:val="000F59AC"/>
    <w:rsid w:val="001364FE"/>
    <w:rsid w:val="001368DD"/>
    <w:rsid w:val="00147DB3"/>
    <w:rsid w:val="001518A5"/>
    <w:rsid w:val="00170095"/>
    <w:rsid w:val="00170E4F"/>
    <w:rsid w:val="001743F4"/>
    <w:rsid w:val="00187C33"/>
    <w:rsid w:val="001936B7"/>
    <w:rsid w:val="00196AB1"/>
    <w:rsid w:val="00201333"/>
    <w:rsid w:val="00210FA7"/>
    <w:rsid w:val="00216417"/>
    <w:rsid w:val="0026631D"/>
    <w:rsid w:val="002C2F53"/>
    <w:rsid w:val="0033518C"/>
    <w:rsid w:val="003437C2"/>
    <w:rsid w:val="00377186"/>
    <w:rsid w:val="003A1C03"/>
    <w:rsid w:val="00414627"/>
    <w:rsid w:val="00425D63"/>
    <w:rsid w:val="004643D8"/>
    <w:rsid w:val="00485EB5"/>
    <w:rsid w:val="00497C24"/>
    <w:rsid w:val="004C7BA5"/>
    <w:rsid w:val="004E7628"/>
    <w:rsid w:val="004F48F2"/>
    <w:rsid w:val="005149B1"/>
    <w:rsid w:val="005647F2"/>
    <w:rsid w:val="005662D1"/>
    <w:rsid w:val="00573A09"/>
    <w:rsid w:val="005A4526"/>
    <w:rsid w:val="005C1B16"/>
    <w:rsid w:val="005D0259"/>
    <w:rsid w:val="005E53D0"/>
    <w:rsid w:val="006002EB"/>
    <w:rsid w:val="006128EF"/>
    <w:rsid w:val="006264B4"/>
    <w:rsid w:val="00643033"/>
    <w:rsid w:val="00644CC3"/>
    <w:rsid w:val="00661468"/>
    <w:rsid w:val="006649F0"/>
    <w:rsid w:val="0067245D"/>
    <w:rsid w:val="0068470E"/>
    <w:rsid w:val="00695DCD"/>
    <w:rsid w:val="006A05CC"/>
    <w:rsid w:val="006A35A7"/>
    <w:rsid w:val="007152D7"/>
    <w:rsid w:val="00746C14"/>
    <w:rsid w:val="007C2C59"/>
    <w:rsid w:val="007D4E7A"/>
    <w:rsid w:val="00801F23"/>
    <w:rsid w:val="00837632"/>
    <w:rsid w:val="0085640F"/>
    <w:rsid w:val="008567AA"/>
    <w:rsid w:val="00892712"/>
    <w:rsid w:val="008A680A"/>
    <w:rsid w:val="008B0BB0"/>
    <w:rsid w:val="008E6C4B"/>
    <w:rsid w:val="008F18C0"/>
    <w:rsid w:val="00907648"/>
    <w:rsid w:val="00930FDE"/>
    <w:rsid w:val="00984C93"/>
    <w:rsid w:val="00987CE1"/>
    <w:rsid w:val="0099405C"/>
    <w:rsid w:val="009C600F"/>
    <w:rsid w:val="009D3723"/>
    <w:rsid w:val="009E04F2"/>
    <w:rsid w:val="00A03B7B"/>
    <w:rsid w:val="00A200C9"/>
    <w:rsid w:val="00A250D5"/>
    <w:rsid w:val="00A32F56"/>
    <w:rsid w:val="00A36028"/>
    <w:rsid w:val="00A91424"/>
    <w:rsid w:val="00AA2C77"/>
    <w:rsid w:val="00AC3FB9"/>
    <w:rsid w:val="00AC702A"/>
    <w:rsid w:val="00AD226F"/>
    <w:rsid w:val="00B13A52"/>
    <w:rsid w:val="00B24CF4"/>
    <w:rsid w:val="00B26993"/>
    <w:rsid w:val="00B4570C"/>
    <w:rsid w:val="00B5208C"/>
    <w:rsid w:val="00B74876"/>
    <w:rsid w:val="00BB7C2B"/>
    <w:rsid w:val="00BC1664"/>
    <w:rsid w:val="00BC2546"/>
    <w:rsid w:val="00C05085"/>
    <w:rsid w:val="00C1593D"/>
    <w:rsid w:val="00C56C7E"/>
    <w:rsid w:val="00C776A4"/>
    <w:rsid w:val="00CA2C6C"/>
    <w:rsid w:val="00CC0600"/>
    <w:rsid w:val="00CC78AC"/>
    <w:rsid w:val="00CF7953"/>
    <w:rsid w:val="00D07232"/>
    <w:rsid w:val="00D10245"/>
    <w:rsid w:val="00D21BDD"/>
    <w:rsid w:val="00D65F07"/>
    <w:rsid w:val="00D92BB7"/>
    <w:rsid w:val="00DC76D2"/>
    <w:rsid w:val="00DD30ED"/>
    <w:rsid w:val="00E64C21"/>
    <w:rsid w:val="00EC24C6"/>
    <w:rsid w:val="00EF2933"/>
    <w:rsid w:val="00F05146"/>
    <w:rsid w:val="00F1115D"/>
    <w:rsid w:val="00F3513C"/>
    <w:rsid w:val="00F465C5"/>
    <w:rsid w:val="00F5180D"/>
    <w:rsid w:val="00F51B21"/>
    <w:rsid w:val="00F51D87"/>
    <w:rsid w:val="00F8455C"/>
    <w:rsid w:val="00FB4F36"/>
    <w:rsid w:val="01884E80"/>
    <w:rsid w:val="019971AD"/>
    <w:rsid w:val="01CC0D95"/>
    <w:rsid w:val="01DD46B1"/>
    <w:rsid w:val="022B7AE8"/>
    <w:rsid w:val="03720FF1"/>
    <w:rsid w:val="039E2C93"/>
    <w:rsid w:val="047F65EE"/>
    <w:rsid w:val="048240F2"/>
    <w:rsid w:val="04AB479F"/>
    <w:rsid w:val="04BD72B6"/>
    <w:rsid w:val="05F10185"/>
    <w:rsid w:val="06277289"/>
    <w:rsid w:val="064209D9"/>
    <w:rsid w:val="06FE17DB"/>
    <w:rsid w:val="077A0FC4"/>
    <w:rsid w:val="08091602"/>
    <w:rsid w:val="08347D68"/>
    <w:rsid w:val="088D73C8"/>
    <w:rsid w:val="092C7E32"/>
    <w:rsid w:val="095F186A"/>
    <w:rsid w:val="09A27028"/>
    <w:rsid w:val="09DD79BA"/>
    <w:rsid w:val="09E22646"/>
    <w:rsid w:val="0A093889"/>
    <w:rsid w:val="0A3273E8"/>
    <w:rsid w:val="0A395E42"/>
    <w:rsid w:val="0AB065D1"/>
    <w:rsid w:val="0CFC2765"/>
    <w:rsid w:val="0D003FEA"/>
    <w:rsid w:val="0D5378BC"/>
    <w:rsid w:val="0D920C1F"/>
    <w:rsid w:val="0D9A5B61"/>
    <w:rsid w:val="0DB90B38"/>
    <w:rsid w:val="0FBB7875"/>
    <w:rsid w:val="0FCD007C"/>
    <w:rsid w:val="11831BF0"/>
    <w:rsid w:val="119D078E"/>
    <w:rsid w:val="11B22830"/>
    <w:rsid w:val="12580304"/>
    <w:rsid w:val="127E5C71"/>
    <w:rsid w:val="12983768"/>
    <w:rsid w:val="12A54E23"/>
    <w:rsid w:val="12BC3172"/>
    <w:rsid w:val="12E2463A"/>
    <w:rsid w:val="133D5C82"/>
    <w:rsid w:val="13B90F29"/>
    <w:rsid w:val="14340099"/>
    <w:rsid w:val="14FA4382"/>
    <w:rsid w:val="150907D7"/>
    <w:rsid w:val="15303FA6"/>
    <w:rsid w:val="1611573C"/>
    <w:rsid w:val="162878E8"/>
    <w:rsid w:val="162F691E"/>
    <w:rsid w:val="16687714"/>
    <w:rsid w:val="16696B55"/>
    <w:rsid w:val="167F6210"/>
    <w:rsid w:val="16A80A97"/>
    <w:rsid w:val="16F50435"/>
    <w:rsid w:val="170C2202"/>
    <w:rsid w:val="17A77A6E"/>
    <w:rsid w:val="17B74BF6"/>
    <w:rsid w:val="18016275"/>
    <w:rsid w:val="181805AE"/>
    <w:rsid w:val="193F5FBB"/>
    <w:rsid w:val="196A6A9F"/>
    <w:rsid w:val="19E55AF0"/>
    <w:rsid w:val="1A464144"/>
    <w:rsid w:val="1A53072C"/>
    <w:rsid w:val="1AA93EE8"/>
    <w:rsid w:val="1AC20679"/>
    <w:rsid w:val="1BFF3A01"/>
    <w:rsid w:val="1C393912"/>
    <w:rsid w:val="1C620D3E"/>
    <w:rsid w:val="1C7B3D39"/>
    <w:rsid w:val="1C8420DA"/>
    <w:rsid w:val="1CCE041B"/>
    <w:rsid w:val="1CE334AC"/>
    <w:rsid w:val="1D4E783E"/>
    <w:rsid w:val="1D97519F"/>
    <w:rsid w:val="1E1E1C10"/>
    <w:rsid w:val="1E8E69DD"/>
    <w:rsid w:val="1F211CCB"/>
    <w:rsid w:val="1F964B8F"/>
    <w:rsid w:val="20AE38BD"/>
    <w:rsid w:val="20CC2447"/>
    <w:rsid w:val="21461069"/>
    <w:rsid w:val="22490FF2"/>
    <w:rsid w:val="225730BA"/>
    <w:rsid w:val="23121FD3"/>
    <w:rsid w:val="23AF30A6"/>
    <w:rsid w:val="23FF7750"/>
    <w:rsid w:val="240B14B4"/>
    <w:rsid w:val="247B1222"/>
    <w:rsid w:val="24B2453D"/>
    <w:rsid w:val="25915944"/>
    <w:rsid w:val="25C33538"/>
    <w:rsid w:val="25DC1287"/>
    <w:rsid w:val="2790576C"/>
    <w:rsid w:val="282F71FA"/>
    <w:rsid w:val="29DC4963"/>
    <w:rsid w:val="2A12548B"/>
    <w:rsid w:val="2A167B68"/>
    <w:rsid w:val="2A4579DE"/>
    <w:rsid w:val="2A5C3038"/>
    <w:rsid w:val="2BD55535"/>
    <w:rsid w:val="2C6A7623"/>
    <w:rsid w:val="2C906E23"/>
    <w:rsid w:val="2D501AD3"/>
    <w:rsid w:val="2D65327D"/>
    <w:rsid w:val="2D7454D4"/>
    <w:rsid w:val="2DC76624"/>
    <w:rsid w:val="2DD65D62"/>
    <w:rsid w:val="2DDB7DF0"/>
    <w:rsid w:val="2E1F1F9A"/>
    <w:rsid w:val="2F027038"/>
    <w:rsid w:val="2F0F3B18"/>
    <w:rsid w:val="2F7A4445"/>
    <w:rsid w:val="2FF3786C"/>
    <w:rsid w:val="30332E88"/>
    <w:rsid w:val="31E749D4"/>
    <w:rsid w:val="33185D39"/>
    <w:rsid w:val="333C54E6"/>
    <w:rsid w:val="33451E86"/>
    <w:rsid w:val="33BB5FB3"/>
    <w:rsid w:val="34554A7C"/>
    <w:rsid w:val="3457151A"/>
    <w:rsid w:val="34DC3739"/>
    <w:rsid w:val="35200EBD"/>
    <w:rsid w:val="352A3C76"/>
    <w:rsid w:val="358F0A4F"/>
    <w:rsid w:val="36033E28"/>
    <w:rsid w:val="36EB7B69"/>
    <w:rsid w:val="371E0EF3"/>
    <w:rsid w:val="37B86213"/>
    <w:rsid w:val="37E2547F"/>
    <w:rsid w:val="38590452"/>
    <w:rsid w:val="38617A0D"/>
    <w:rsid w:val="389D1276"/>
    <w:rsid w:val="39B52680"/>
    <w:rsid w:val="39C7254A"/>
    <w:rsid w:val="3A115163"/>
    <w:rsid w:val="3A6D7967"/>
    <w:rsid w:val="3AC2432D"/>
    <w:rsid w:val="3AED01E4"/>
    <w:rsid w:val="3AF40B78"/>
    <w:rsid w:val="3B4E6393"/>
    <w:rsid w:val="3B8452FE"/>
    <w:rsid w:val="3BDD7541"/>
    <w:rsid w:val="3C9973E2"/>
    <w:rsid w:val="3D3311BA"/>
    <w:rsid w:val="3D434938"/>
    <w:rsid w:val="3D725EFF"/>
    <w:rsid w:val="3DFF05FC"/>
    <w:rsid w:val="3E3A1F26"/>
    <w:rsid w:val="3EDF7EF4"/>
    <w:rsid w:val="3F34498E"/>
    <w:rsid w:val="3FC03A25"/>
    <w:rsid w:val="41182093"/>
    <w:rsid w:val="41B36FF9"/>
    <w:rsid w:val="423F299F"/>
    <w:rsid w:val="42C15FFA"/>
    <w:rsid w:val="43835EE7"/>
    <w:rsid w:val="439A62DE"/>
    <w:rsid w:val="441B4174"/>
    <w:rsid w:val="44610415"/>
    <w:rsid w:val="44DB4DB9"/>
    <w:rsid w:val="452D2CF0"/>
    <w:rsid w:val="454230D6"/>
    <w:rsid w:val="457979E2"/>
    <w:rsid w:val="4599484D"/>
    <w:rsid w:val="4757152C"/>
    <w:rsid w:val="485B181D"/>
    <w:rsid w:val="48997202"/>
    <w:rsid w:val="4A020111"/>
    <w:rsid w:val="4A190029"/>
    <w:rsid w:val="4A5B0E0A"/>
    <w:rsid w:val="4A6729DC"/>
    <w:rsid w:val="4A6D6505"/>
    <w:rsid w:val="4AE450E9"/>
    <w:rsid w:val="4B4B03D2"/>
    <w:rsid w:val="4CC51E66"/>
    <w:rsid w:val="4CD8767B"/>
    <w:rsid w:val="4CE4379D"/>
    <w:rsid w:val="4D55168D"/>
    <w:rsid w:val="4DC54EAE"/>
    <w:rsid w:val="4DD436F8"/>
    <w:rsid w:val="4E371187"/>
    <w:rsid w:val="4E3B2EA3"/>
    <w:rsid w:val="4E5A58BF"/>
    <w:rsid w:val="4E7943ED"/>
    <w:rsid w:val="4EC4694A"/>
    <w:rsid w:val="50251A8C"/>
    <w:rsid w:val="506240F1"/>
    <w:rsid w:val="50AE77CA"/>
    <w:rsid w:val="51B41062"/>
    <w:rsid w:val="526B647F"/>
    <w:rsid w:val="52B001C0"/>
    <w:rsid w:val="52B70FB5"/>
    <w:rsid w:val="5311380C"/>
    <w:rsid w:val="532130D8"/>
    <w:rsid w:val="538C05E4"/>
    <w:rsid w:val="53AD0DB9"/>
    <w:rsid w:val="54270694"/>
    <w:rsid w:val="542A5657"/>
    <w:rsid w:val="544D4BEE"/>
    <w:rsid w:val="54C4195E"/>
    <w:rsid w:val="54C871DF"/>
    <w:rsid w:val="54F971EC"/>
    <w:rsid w:val="55113969"/>
    <w:rsid w:val="555E4B58"/>
    <w:rsid w:val="55A35746"/>
    <w:rsid w:val="56261BA4"/>
    <w:rsid w:val="56A43282"/>
    <w:rsid w:val="56E04BF6"/>
    <w:rsid w:val="570C5349"/>
    <w:rsid w:val="57573885"/>
    <w:rsid w:val="57FE1D2A"/>
    <w:rsid w:val="585710A0"/>
    <w:rsid w:val="587A5D9C"/>
    <w:rsid w:val="58D8088D"/>
    <w:rsid w:val="597F0E20"/>
    <w:rsid w:val="59801B8F"/>
    <w:rsid w:val="5AB179B5"/>
    <w:rsid w:val="5B74288C"/>
    <w:rsid w:val="5C840EE2"/>
    <w:rsid w:val="5C957659"/>
    <w:rsid w:val="5D1D554B"/>
    <w:rsid w:val="5D572187"/>
    <w:rsid w:val="5E241702"/>
    <w:rsid w:val="5E4E19DF"/>
    <w:rsid w:val="6047227A"/>
    <w:rsid w:val="6068130A"/>
    <w:rsid w:val="60862E93"/>
    <w:rsid w:val="60D510D1"/>
    <w:rsid w:val="60EA2721"/>
    <w:rsid w:val="61937F73"/>
    <w:rsid w:val="61C17908"/>
    <w:rsid w:val="61D9689C"/>
    <w:rsid w:val="61ED291D"/>
    <w:rsid w:val="62145E1E"/>
    <w:rsid w:val="62922F0F"/>
    <w:rsid w:val="62AE05C4"/>
    <w:rsid w:val="62BC0843"/>
    <w:rsid w:val="62BF4092"/>
    <w:rsid w:val="65197ED5"/>
    <w:rsid w:val="65410961"/>
    <w:rsid w:val="66AC2E95"/>
    <w:rsid w:val="66B35671"/>
    <w:rsid w:val="68101F73"/>
    <w:rsid w:val="69517A98"/>
    <w:rsid w:val="699A09D4"/>
    <w:rsid w:val="69EE5452"/>
    <w:rsid w:val="6A0F4914"/>
    <w:rsid w:val="6A87257F"/>
    <w:rsid w:val="6AF86C89"/>
    <w:rsid w:val="6B32453E"/>
    <w:rsid w:val="6BA812F7"/>
    <w:rsid w:val="6C1C7D1D"/>
    <w:rsid w:val="6C3D589E"/>
    <w:rsid w:val="6C3F1A3E"/>
    <w:rsid w:val="6C4B7B9B"/>
    <w:rsid w:val="6C7A17A5"/>
    <w:rsid w:val="6CA41A8A"/>
    <w:rsid w:val="6CBE159E"/>
    <w:rsid w:val="6D1F2B1F"/>
    <w:rsid w:val="6D803D0C"/>
    <w:rsid w:val="6D8F00FB"/>
    <w:rsid w:val="6D933663"/>
    <w:rsid w:val="6E6362A5"/>
    <w:rsid w:val="6F0779BA"/>
    <w:rsid w:val="6F1B4A6D"/>
    <w:rsid w:val="6F55769C"/>
    <w:rsid w:val="6F8A3A06"/>
    <w:rsid w:val="6F984B2C"/>
    <w:rsid w:val="703E2684"/>
    <w:rsid w:val="70744D4E"/>
    <w:rsid w:val="70BD60E0"/>
    <w:rsid w:val="71987E3B"/>
    <w:rsid w:val="71A30B1D"/>
    <w:rsid w:val="725408A0"/>
    <w:rsid w:val="7283696F"/>
    <w:rsid w:val="72A3678C"/>
    <w:rsid w:val="72AE3DCA"/>
    <w:rsid w:val="72F83722"/>
    <w:rsid w:val="730108FA"/>
    <w:rsid w:val="735C539C"/>
    <w:rsid w:val="73722B16"/>
    <w:rsid w:val="74871046"/>
    <w:rsid w:val="75D64058"/>
    <w:rsid w:val="7635411A"/>
    <w:rsid w:val="768D0B52"/>
    <w:rsid w:val="76B75FBE"/>
    <w:rsid w:val="76BE6FC5"/>
    <w:rsid w:val="76C00E8D"/>
    <w:rsid w:val="779419D3"/>
    <w:rsid w:val="78257147"/>
    <w:rsid w:val="783D1DCD"/>
    <w:rsid w:val="785A0207"/>
    <w:rsid w:val="788C0C83"/>
    <w:rsid w:val="79F44835"/>
    <w:rsid w:val="7A09614C"/>
    <w:rsid w:val="7A1C4302"/>
    <w:rsid w:val="7A2F0665"/>
    <w:rsid w:val="7A617553"/>
    <w:rsid w:val="7B003BB4"/>
    <w:rsid w:val="7B1C5EF8"/>
    <w:rsid w:val="7B5C6168"/>
    <w:rsid w:val="7B5E29EF"/>
    <w:rsid w:val="7B77382B"/>
    <w:rsid w:val="7BAE1EFA"/>
    <w:rsid w:val="7BC00C6A"/>
    <w:rsid w:val="7CBB1130"/>
    <w:rsid w:val="7DD97FA7"/>
    <w:rsid w:val="7E1E06E9"/>
    <w:rsid w:val="7EB63946"/>
    <w:rsid w:val="7EE34CC4"/>
    <w:rsid w:val="7EF84B45"/>
    <w:rsid w:val="7EF96CF0"/>
    <w:rsid w:val="7F0E71C1"/>
    <w:rsid w:val="7F9F44D4"/>
    <w:rsid w:val="7FB230CA"/>
    <w:rsid w:val="7FDB1C76"/>
    <w:rsid w:val="7FEA077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SimSun"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asciiTheme="minorHAnsi" w:hAnsiTheme="minorHAnsi" w:eastAsiaTheme="minorEastAsia" w:cstheme="minorBidi"/>
      <w:lang w:val="en-US" w:eastAsia="zh-CN" w:bidi="ar-SA"/>
    </w:rPr>
  </w:style>
  <w:style w:type="character" w:default="1" w:styleId="2">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type="character" w:styleId="4">
    <w:name w:val="Hyperlink"/>
    <w:basedOn w:val="2"/>
    <w:qFormat/>
    <w:uiPriority w:val="0"/>
    <w:rPr>
      <w:color w:val="0000FF"/>
      <w:u w:val="single"/>
    </w:rPr>
  </w:style>
</w:styles>
</file>

<file path=word/_rels/document.xml.rels><?xml version="1.0" encoding="UTF-8" standalone="yes"?>
<Relationships xmlns="http://schemas.openxmlformats.org/package/2006/relationships"><Relationship Id="rId9" Type="http://schemas.openxmlformats.org/officeDocument/2006/relationships/customXml" Target="../customXml/item1.xml"/><Relationship Id="rId8" Type="http://schemas.openxmlformats.org/officeDocument/2006/relationships/image" Target="media/image5.jpe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jpe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numbering" Target="numbering.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13</TotalTime>
  <ScaleCrop>false</ScaleCrop>
  <LinksUpToDate>false</LinksUpToDate>
  <CharactersWithSpaces>0</CharactersWithSpaces>
  <Application>WPS Office_11.2.0.10463_F1E327BC-269C-435d-A152-05C5408002CA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2021-10-28T08:08:00Z</dcterms:created>
  <dc:creator>samue</dc:creator>
  <cp:lastModifiedBy>Dr Yamuna Rani</cp:lastModifiedBy>
  <dcterms:modified xsi:type="dcterms:W3CDTF">2022-02-11T14:24:02Z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1033-11.2.0.10463</vt:lpwstr>
  </property>
  <property fmtid="{D5CDD505-2E9C-101B-9397-08002B2CF9AE}" pid="3" name="ICV">
    <vt:lpwstr>A026027BC76549F4989D03BDB865875E</vt:lpwstr>
  </property>
</Properties>
</file>