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Pr="005F71E3">
        <w:rPr>
          <w:rFonts w:ascii="Times New Roman" w:hAnsi="Times New Roman" w:cs="Times New Roman"/>
          <w:sz w:val="24"/>
          <w:szCs w:val="24"/>
        </w:rPr>
        <w:t>PROFILE OF CLOSED GLOBE INJURY IN A SECONDARY EYE HOSPITAL</w:t>
      </w:r>
    </w:p>
    <w:p w:rsidR="00345131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 xml:space="preserve">Name of authors: </w:t>
      </w:r>
      <w:r w:rsidRPr="005F71E3">
        <w:rPr>
          <w:rFonts w:ascii="Times New Roman" w:hAnsi="Times New Roman" w:cs="Times New Roman"/>
          <w:sz w:val="24"/>
          <w:szCs w:val="24"/>
          <w:u w:val="single"/>
        </w:rPr>
        <w:t>Dr Manita Sunam Godar</w:t>
      </w:r>
      <w:r w:rsidRPr="005F71E3">
        <w:rPr>
          <w:rFonts w:ascii="Times New Roman" w:hAnsi="Times New Roman" w:cs="Times New Roman"/>
          <w:sz w:val="24"/>
          <w:szCs w:val="24"/>
        </w:rPr>
        <w:t>, Lumbini Eye Institute</w:t>
      </w:r>
      <w:r w:rsidRPr="004571D2">
        <w:rPr>
          <w:rFonts w:ascii="Times New Roman" w:hAnsi="Times New Roman" w:cs="Times New Roman"/>
          <w:sz w:val="24"/>
          <w:szCs w:val="24"/>
        </w:rPr>
        <w:t xml:space="preserve"> </w:t>
      </w:r>
      <w:r w:rsidRPr="005F71E3">
        <w:rPr>
          <w:rFonts w:ascii="Times New Roman" w:hAnsi="Times New Roman" w:cs="Times New Roman"/>
          <w:sz w:val="24"/>
          <w:szCs w:val="24"/>
        </w:rPr>
        <w:t>and Research Centre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1E3">
        <w:rPr>
          <w:rFonts w:ascii="Times New Roman" w:hAnsi="Times New Roman" w:cs="Times New Roman"/>
          <w:sz w:val="24"/>
          <w:szCs w:val="24"/>
        </w:rPr>
        <w:t>, Shree Rana Ambika Shah Eye Hospital</w:t>
      </w:r>
      <w:r>
        <w:rPr>
          <w:rFonts w:ascii="Times New Roman" w:hAnsi="Times New Roman" w:cs="Times New Roman"/>
          <w:sz w:val="24"/>
          <w:szCs w:val="24"/>
        </w:rPr>
        <w:t>, Bhairahawa,Rupandehi, Nepal.</w:t>
      </w:r>
    </w:p>
    <w:p w:rsidR="00345131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>Dr Sushila Patel, Lumbini Eye Institute</w:t>
      </w:r>
      <w:r w:rsidRPr="004571D2">
        <w:rPr>
          <w:rFonts w:ascii="Times New Roman" w:hAnsi="Times New Roman" w:cs="Times New Roman"/>
          <w:sz w:val="24"/>
          <w:szCs w:val="24"/>
        </w:rPr>
        <w:t xml:space="preserve"> </w:t>
      </w:r>
      <w:r w:rsidRPr="005F71E3">
        <w:rPr>
          <w:rFonts w:ascii="Times New Roman" w:hAnsi="Times New Roman" w:cs="Times New Roman"/>
          <w:sz w:val="24"/>
          <w:szCs w:val="24"/>
        </w:rPr>
        <w:t>and Research Centre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1E3">
        <w:rPr>
          <w:rFonts w:ascii="Times New Roman" w:hAnsi="Times New Roman" w:cs="Times New Roman"/>
          <w:sz w:val="24"/>
          <w:szCs w:val="24"/>
        </w:rPr>
        <w:t>, Shree Rana Ambika Shah Eye Hospital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2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Bhairahawa,Rupandehi, Nepal</w:t>
      </w:r>
    </w:p>
    <w:p w:rsidR="00345131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>Dr Nita Sunam Gamal, Lamahi Eye Hospital</w:t>
      </w:r>
      <w:r>
        <w:rPr>
          <w:rFonts w:ascii="Times New Roman" w:hAnsi="Times New Roman" w:cs="Times New Roman"/>
          <w:sz w:val="24"/>
          <w:szCs w:val="24"/>
        </w:rPr>
        <w:t>, Dang, Nepal.</w:t>
      </w:r>
    </w:p>
    <w:p w:rsidR="00345131" w:rsidRDefault="00345131" w:rsidP="00345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La</w:t>
      </w:r>
      <w:r w:rsidRPr="005F71E3">
        <w:rPr>
          <w:rFonts w:ascii="Times New Roman" w:hAnsi="Times New Roman" w:cs="Times New Roman"/>
          <w:sz w:val="24"/>
          <w:szCs w:val="24"/>
        </w:rPr>
        <w:t>xmi Devi Manandhar, Lumbini Eye Institute</w:t>
      </w:r>
      <w:r w:rsidRPr="004571D2">
        <w:rPr>
          <w:rFonts w:ascii="Times New Roman" w:hAnsi="Times New Roman" w:cs="Times New Roman"/>
          <w:sz w:val="24"/>
          <w:szCs w:val="24"/>
        </w:rPr>
        <w:t xml:space="preserve"> </w:t>
      </w:r>
      <w:r w:rsidRPr="005F71E3">
        <w:rPr>
          <w:rFonts w:ascii="Times New Roman" w:hAnsi="Times New Roman" w:cs="Times New Roman"/>
          <w:sz w:val="24"/>
          <w:szCs w:val="24"/>
        </w:rPr>
        <w:t>and Research Centre, Shre</w:t>
      </w:r>
      <w:r>
        <w:rPr>
          <w:rFonts w:ascii="Times New Roman" w:hAnsi="Times New Roman" w:cs="Times New Roman"/>
          <w:sz w:val="24"/>
          <w:szCs w:val="24"/>
        </w:rPr>
        <w:t>e Rana Ambika Shah Eye Hospital, Bhairahawa, Rupandehi, Nepal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address of corresponding</w:t>
      </w:r>
      <w:r w:rsidRPr="005F71E3">
        <w:rPr>
          <w:rFonts w:ascii="Times New Roman" w:hAnsi="Times New Roman" w:cs="Times New Roman"/>
          <w:sz w:val="24"/>
          <w:szCs w:val="24"/>
        </w:rPr>
        <w:t xml:space="preserve"> author:</w:t>
      </w:r>
      <w:r w:rsidRPr="005F71E3">
        <w:rPr>
          <w:rFonts w:ascii="Times New Roman" w:hAnsi="Times New Roman" w:cs="Times New Roman"/>
          <w:sz w:val="24"/>
          <w:szCs w:val="24"/>
          <w:u w:val="single"/>
        </w:rPr>
        <w:t xml:space="preserve"> Dr Manita Sunam Godar</w:t>
      </w:r>
      <w:r w:rsidRPr="005F71E3">
        <w:rPr>
          <w:rFonts w:ascii="Times New Roman" w:hAnsi="Times New Roman" w:cs="Times New Roman"/>
          <w:sz w:val="24"/>
          <w:szCs w:val="24"/>
        </w:rPr>
        <w:t>, Lumbini Eye Institute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1E3">
        <w:rPr>
          <w:rFonts w:ascii="Times New Roman" w:hAnsi="Times New Roman" w:cs="Times New Roman"/>
          <w:sz w:val="24"/>
          <w:szCs w:val="24"/>
        </w:rPr>
        <w:t>and Research Centre, Shree Rana Ambika Shah Eye Hospital and Research Centre</w:t>
      </w:r>
      <w:r>
        <w:rPr>
          <w:rFonts w:ascii="Times New Roman" w:hAnsi="Times New Roman" w:cs="Times New Roman"/>
          <w:sz w:val="24"/>
          <w:szCs w:val="24"/>
        </w:rPr>
        <w:t>, Siddharthanagar-3, Bhairahawa, Rupandehi, Nepal.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>Email: manitagodar@gmail.com</w:t>
      </w:r>
    </w:p>
    <w:p w:rsidR="00345131" w:rsidRPr="005F71E3" w:rsidRDefault="00345131" w:rsidP="00345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1E3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 xml:space="preserve">Introduction: Ocular trauma is an important cause of preventable ocular morbidity and blindness. 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>Aims: To analyze the epidemiological profile of patients with closed globe injury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 xml:space="preserve">Study design: </w:t>
      </w:r>
      <w:r>
        <w:rPr>
          <w:rFonts w:ascii="Times New Roman" w:hAnsi="Times New Roman" w:cs="Times New Roman"/>
          <w:sz w:val="24"/>
          <w:szCs w:val="24"/>
        </w:rPr>
        <w:t>Retrospective, descriptive, cross-</w:t>
      </w:r>
      <w:r w:rsidRPr="005F71E3">
        <w:rPr>
          <w:rFonts w:ascii="Times New Roman" w:hAnsi="Times New Roman" w:cs="Times New Roman"/>
          <w:sz w:val="24"/>
          <w:szCs w:val="24"/>
        </w:rPr>
        <w:t>sectional study</w:t>
      </w:r>
    </w:p>
    <w:p w:rsidR="00345131" w:rsidRDefault="00345131" w:rsidP="00345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and </w:t>
      </w:r>
      <w:r w:rsidRPr="005F71E3">
        <w:rPr>
          <w:rFonts w:ascii="Times New Roman" w:hAnsi="Times New Roman" w:cs="Times New Roman"/>
          <w:sz w:val="24"/>
          <w:szCs w:val="24"/>
        </w:rPr>
        <w:t xml:space="preserve">method: </w:t>
      </w:r>
      <w:r>
        <w:rPr>
          <w:rFonts w:ascii="Times New Roman" w:hAnsi="Times New Roman" w:cs="Times New Roman"/>
          <w:sz w:val="24"/>
          <w:szCs w:val="24"/>
        </w:rPr>
        <w:t xml:space="preserve">Details of </w:t>
      </w:r>
      <w:r w:rsidRPr="005F71E3">
        <w:rPr>
          <w:rFonts w:ascii="Times New Roman" w:hAnsi="Times New Roman" w:cs="Times New Roman"/>
          <w:sz w:val="24"/>
          <w:szCs w:val="24"/>
        </w:rPr>
        <w:t>167 patients</w:t>
      </w:r>
      <w:r w:rsidRPr="00B178C8">
        <w:rPr>
          <w:rFonts w:ascii="Times New Roman" w:hAnsi="Times New Roman" w:cs="Times New Roman"/>
          <w:sz w:val="24"/>
          <w:szCs w:val="24"/>
        </w:rPr>
        <w:t xml:space="preserve"> </w:t>
      </w:r>
      <w:r w:rsidRPr="005F71E3">
        <w:rPr>
          <w:rFonts w:ascii="Times New Roman" w:hAnsi="Times New Roman" w:cs="Times New Roman"/>
          <w:sz w:val="24"/>
          <w:szCs w:val="24"/>
        </w:rPr>
        <w:t xml:space="preserve">with closed globe injury attending Dr.Binod Neeta Kandel Eye Hospital, Nawalparasi from </w:t>
      </w:r>
      <w:r w:rsidRPr="005F71E3">
        <w:rPr>
          <w:rFonts w:ascii="Times New Roman" w:hAnsi="Times New Roman" w:cs="Times New Roman"/>
          <w:color w:val="000000" w:themeColor="text1"/>
          <w:sz w:val="24"/>
          <w:szCs w:val="24"/>
        </w:rPr>
        <w:t>Aug 2017 to July 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reviewed</w:t>
      </w:r>
      <w:r w:rsidRPr="005F71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F71E3">
        <w:rPr>
          <w:rFonts w:ascii="Times New Roman" w:hAnsi="Times New Roman" w:cs="Times New Roman"/>
          <w:sz w:val="24"/>
          <w:szCs w:val="24"/>
        </w:rPr>
        <w:t>emographic profile, detailed h</w:t>
      </w:r>
      <w:r>
        <w:rPr>
          <w:rFonts w:ascii="Times New Roman" w:hAnsi="Times New Roman" w:cs="Times New Roman"/>
          <w:sz w:val="24"/>
          <w:szCs w:val="24"/>
        </w:rPr>
        <w:t>istory and examination findings were recorded.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>Results: Closed globe injury was more common in males (61.7%) than females (38.3%). The mean age was 30.76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1E3">
        <w:rPr>
          <w:rFonts w:ascii="Times New Roman" w:hAnsi="Times New Roman" w:cs="Times New Roman"/>
          <w:sz w:val="24"/>
          <w:szCs w:val="24"/>
        </w:rPr>
        <w:t>± 16.58 yrs, youngest being 3 years old whereas oldest 90 years old. Left eye was more involved. The most common m</w:t>
      </w:r>
      <w:r>
        <w:rPr>
          <w:rFonts w:ascii="Times New Roman" w:hAnsi="Times New Roman" w:cs="Times New Roman"/>
          <w:sz w:val="24"/>
          <w:szCs w:val="24"/>
        </w:rPr>
        <w:t>ode of injury was accidental (70</w:t>
      </w:r>
      <w:r w:rsidRPr="005F71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71E3">
        <w:rPr>
          <w:rFonts w:ascii="Times New Roman" w:hAnsi="Times New Roman" w:cs="Times New Roman"/>
          <w:sz w:val="24"/>
          <w:szCs w:val="24"/>
        </w:rPr>
        <w:t>5%) followed by physical assault (12.6%), fall injury (9%) and road traffic accident (7.8%).   Household injury was the commones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F71E3">
        <w:rPr>
          <w:rFonts w:ascii="Times New Roman" w:hAnsi="Times New Roman" w:cs="Times New Roman"/>
          <w:sz w:val="24"/>
          <w:szCs w:val="24"/>
        </w:rPr>
        <w:t xml:space="preserve"> (38.92%) followe</w:t>
      </w:r>
      <w:r>
        <w:rPr>
          <w:rFonts w:ascii="Times New Roman" w:hAnsi="Times New Roman" w:cs="Times New Roman"/>
          <w:sz w:val="24"/>
          <w:szCs w:val="24"/>
        </w:rPr>
        <w:t>d by recreational activities (17</w:t>
      </w:r>
      <w:r w:rsidRPr="005F71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F71E3">
        <w:rPr>
          <w:rFonts w:ascii="Times New Roman" w:hAnsi="Times New Roman" w:cs="Times New Roman"/>
          <w:sz w:val="24"/>
          <w:szCs w:val="24"/>
        </w:rPr>
        <w:t xml:space="preserve">6%), workplace injury (14.97%). </w:t>
      </w:r>
      <w:r>
        <w:rPr>
          <w:rFonts w:ascii="Times New Roman" w:hAnsi="Times New Roman" w:cs="Times New Roman"/>
          <w:sz w:val="24"/>
          <w:szCs w:val="24"/>
        </w:rPr>
        <w:t xml:space="preserve">Conjunctival laceration (21.55%) and traumatic uveitis (21.55%) were the commonest. </w:t>
      </w:r>
      <w:r w:rsidRPr="005F71E3">
        <w:rPr>
          <w:rFonts w:ascii="Times New Roman" w:hAnsi="Times New Roman" w:cs="Times New Roman"/>
          <w:sz w:val="24"/>
          <w:szCs w:val="24"/>
        </w:rPr>
        <w:t>79.64% had good vision (VA 6/6 -6/18) whereas 7.78% cases were blind (VA less than 3/60).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>Conclusion: Closed globe injury can occur from different modes of trauma. Anterior segment was more involved than the posterio</w:t>
      </w:r>
      <w:r>
        <w:rPr>
          <w:rFonts w:ascii="Times New Roman" w:hAnsi="Times New Roman" w:cs="Times New Roman"/>
          <w:sz w:val="24"/>
          <w:szCs w:val="24"/>
        </w:rPr>
        <w:t>r segment. Even a trivial</w:t>
      </w:r>
      <w:r w:rsidRPr="005F71E3">
        <w:rPr>
          <w:rFonts w:ascii="Times New Roman" w:hAnsi="Times New Roman" w:cs="Times New Roman"/>
          <w:sz w:val="24"/>
          <w:szCs w:val="24"/>
        </w:rPr>
        <w:t xml:space="preserve"> ocular trauma can have a sight threatening impact.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Pr="005F71E3">
        <w:rPr>
          <w:rFonts w:ascii="Times New Roman" w:hAnsi="Times New Roman" w:cs="Times New Roman"/>
          <w:sz w:val="24"/>
          <w:szCs w:val="24"/>
        </w:rPr>
        <w:t>closed globe injury, anterior segment, posterior segment, vision</w:t>
      </w:r>
    </w:p>
    <w:p w:rsidR="00345131" w:rsidRPr="005F71E3" w:rsidRDefault="00345131" w:rsidP="00345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1E3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>Ocular trauma is one of the important cause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F71E3">
        <w:rPr>
          <w:rFonts w:ascii="Times New Roman" w:hAnsi="Times New Roman" w:cs="Times New Roman"/>
          <w:sz w:val="24"/>
          <w:szCs w:val="24"/>
        </w:rPr>
        <w:t xml:space="preserve"> of preventable ocular morbidity and blindness. Blindness due to ocular trauma was 2.4% according to Nepal Blindness Survey, 1981. </w:t>
      </w:r>
      <w:r w:rsidRPr="005F71E3">
        <w:rPr>
          <w:rFonts w:ascii="Times New Roman" w:hAnsi="Times New Roman" w:cs="Times New Roman"/>
          <w:sz w:val="24"/>
          <w:szCs w:val="24"/>
        </w:rPr>
        <w:fldChar w:fldCharType="begin"/>
      </w:r>
      <w:r w:rsidRPr="005F71E3"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ZKW5Eplo","properties":{"formattedCitation":"(1)","plainCitation":"(1)","noteIndex":0},"citationItems":[{"id":138,"uris":["http://zotero.org/users/local/2Iznrmkn/items/V4DXKJV6"],"uri":["http://zotero.org/users/local/2Iznrmkn/items/V4DXKJV6"],"itemData":{"id":138,"type":"article-journal","title":"Brilliant LB, Pokhrel RP, Grasset NC, et al. Epidemiology of blindness in Nepal. Bulletin of the World Health Organization 1985;63:375-86."}}],"schema":"https://github.com/citation-style-language/schema/raw/master/csl-citation.json"} </w:instrText>
      </w:r>
      <w:r w:rsidRPr="005F71E3">
        <w:rPr>
          <w:rFonts w:ascii="Times New Roman" w:hAnsi="Times New Roman" w:cs="Times New Roman"/>
          <w:sz w:val="24"/>
          <w:szCs w:val="24"/>
        </w:rPr>
        <w:fldChar w:fldCharType="separate"/>
      </w:r>
      <w:r w:rsidRPr="005F71E3">
        <w:rPr>
          <w:rFonts w:ascii="Times New Roman" w:hAnsi="Times New Roman" w:cs="Times New Roman"/>
          <w:sz w:val="24"/>
          <w:szCs w:val="24"/>
        </w:rPr>
        <w:t>(1)</w:t>
      </w:r>
      <w:r w:rsidRPr="005F71E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In Nepal corneal trauma and ulceration</w:t>
      </w:r>
      <w:r w:rsidRPr="005F71E3">
        <w:rPr>
          <w:rFonts w:ascii="Times New Roman" w:hAnsi="Times New Roman" w:cs="Times New Roman"/>
          <w:sz w:val="24"/>
          <w:szCs w:val="24"/>
        </w:rPr>
        <w:t xml:space="preserve"> is the second most common cause of blindness after cataract. Bhaktapur Eye survey showed the prevale</w:t>
      </w:r>
      <w:r>
        <w:rPr>
          <w:rFonts w:ascii="Times New Roman" w:hAnsi="Times New Roman" w:cs="Times New Roman"/>
          <w:sz w:val="24"/>
          <w:szCs w:val="24"/>
        </w:rPr>
        <w:t xml:space="preserve">nce of ocular trauma as </w:t>
      </w:r>
      <w:r w:rsidRPr="005F71E3">
        <w:rPr>
          <w:rFonts w:ascii="Times New Roman" w:hAnsi="Times New Roman" w:cs="Times New Roman"/>
          <w:sz w:val="24"/>
          <w:szCs w:val="24"/>
        </w:rPr>
        <w:t xml:space="preserve">0.7%. </w:t>
      </w:r>
      <w:r w:rsidRPr="005F71E3">
        <w:rPr>
          <w:rFonts w:ascii="Times New Roman" w:hAnsi="Times New Roman" w:cs="Times New Roman"/>
          <w:sz w:val="24"/>
          <w:szCs w:val="24"/>
        </w:rPr>
        <w:fldChar w:fldCharType="begin"/>
      </w:r>
      <w:r w:rsidRPr="005F71E3"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Y20cfvk5","properties":{"formattedCitation":"(2)","plainCitation":"(2)","noteIndex":0},"citationItems":[{"id":139,"uris":["http://zotero.org/users/local/2Iznrmkn/items/63VWZMLT"],"uri":["http://zotero.org/users/local/2Iznrmkn/items/63VWZMLT"],"itemData":{"id":139,"type":"article-journal","title":"Upadhyay MP, Karmacharya P, Koirala S, et al. Bhaktapur Eye Study: Ocular trauma and antibiotic prophylaxis for the prevention of corneal ulceration in Nepal. Br J Ophthalmol 2001; 85:388-92."}}],"schema":"https://github.com/citation-style-language/schema/raw/master/csl-citation.json"} </w:instrText>
      </w:r>
      <w:r w:rsidRPr="005F71E3">
        <w:rPr>
          <w:rFonts w:ascii="Times New Roman" w:hAnsi="Times New Roman" w:cs="Times New Roman"/>
          <w:sz w:val="24"/>
          <w:szCs w:val="24"/>
        </w:rPr>
        <w:fldChar w:fldCharType="separate"/>
      </w:r>
      <w:r w:rsidRPr="005F71E3">
        <w:rPr>
          <w:rFonts w:ascii="Times New Roman" w:hAnsi="Times New Roman" w:cs="Times New Roman"/>
          <w:sz w:val="24"/>
          <w:szCs w:val="24"/>
        </w:rPr>
        <w:t>(2)</w:t>
      </w:r>
      <w:r w:rsidRPr="005F71E3">
        <w:rPr>
          <w:rFonts w:ascii="Times New Roman" w:hAnsi="Times New Roman" w:cs="Times New Roman"/>
          <w:sz w:val="24"/>
          <w:szCs w:val="24"/>
        </w:rPr>
        <w:fldChar w:fldCharType="end"/>
      </w:r>
    </w:p>
    <w:p w:rsidR="00345131" w:rsidRPr="005F71E3" w:rsidRDefault="00345131" w:rsidP="003451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131" w:rsidRPr="005F71E3" w:rsidRDefault="00345131" w:rsidP="003451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131" w:rsidRPr="005F71E3" w:rsidRDefault="00345131" w:rsidP="00345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1E3">
        <w:rPr>
          <w:rFonts w:ascii="Times New Roman" w:hAnsi="Times New Roman" w:cs="Times New Roman"/>
          <w:b/>
          <w:sz w:val="24"/>
          <w:szCs w:val="24"/>
        </w:rPr>
        <w:t>MATERIALS AND METHOD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>This was a retrospective,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1E3">
        <w:rPr>
          <w:rFonts w:ascii="Times New Roman" w:hAnsi="Times New Roman" w:cs="Times New Roman"/>
          <w:sz w:val="24"/>
          <w:szCs w:val="24"/>
        </w:rPr>
        <w:t xml:space="preserve">descriptive , cross sectional study conducted in Dr Binod Neeta Kandel Eye Hospital, Nawalparasi, a secondary  eye hospital  from </w:t>
      </w:r>
      <w:r w:rsidRPr="005F71E3">
        <w:rPr>
          <w:rFonts w:ascii="Times New Roman" w:hAnsi="Times New Roman" w:cs="Times New Roman"/>
          <w:color w:val="000000" w:themeColor="text1"/>
          <w:sz w:val="24"/>
          <w:szCs w:val="24"/>
        </w:rPr>
        <w:t>Aug 1</w:t>
      </w:r>
      <w:r w:rsidRPr="005F71E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Pr="005F7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 to July 31</w:t>
      </w:r>
      <w:r w:rsidRPr="005F71E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Pr="005F7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2018.  Detail history about demography, mode, agent an</w:t>
      </w:r>
      <w:r w:rsidRPr="005F71E3">
        <w:rPr>
          <w:rFonts w:ascii="Times New Roman" w:hAnsi="Times New Roman" w:cs="Times New Roman"/>
          <w:sz w:val="24"/>
          <w:szCs w:val="24"/>
        </w:rPr>
        <w:t>d place of injury were noted. Visual acuity was recorded using Snellen’s chart for adults and cooperative children and CSM method for unco-operative children.</w:t>
      </w:r>
      <w:r>
        <w:rPr>
          <w:rFonts w:ascii="Times New Roman" w:hAnsi="Times New Roman" w:cs="Times New Roman"/>
          <w:sz w:val="24"/>
          <w:szCs w:val="24"/>
        </w:rPr>
        <w:t xml:space="preserve"> Anterior and posterior segment findings before and after mydriasis were noted.</w:t>
      </w:r>
    </w:p>
    <w:p w:rsidR="00345131" w:rsidRPr="005F71E3" w:rsidRDefault="00345131" w:rsidP="003451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131" w:rsidRPr="005F71E3" w:rsidRDefault="00345131" w:rsidP="00345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1E3">
        <w:rPr>
          <w:rFonts w:ascii="Times New Roman" w:hAnsi="Times New Roman" w:cs="Times New Roman"/>
          <w:b/>
          <w:sz w:val="24"/>
          <w:szCs w:val="24"/>
        </w:rPr>
        <w:t>DATA ANALYSIS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>Data were entered in the computer database and analysed with SPSS version 20.</w:t>
      </w:r>
    </w:p>
    <w:p w:rsidR="00345131" w:rsidRPr="005F71E3" w:rsidRDefault="00345131" w:rsidP="00345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1E3">
        <w:rPr>
          <w:rFonts w:ascii="Times New Roman" w:hAnsi="Times New Roman" w:cs="Times New Roman"/>
          <w:b/>
          <w:sz w:val="24"/>
          <w:szCs w:val="24"/>
        </w:rPr>
        <w:t>RESULTS</w:t>
      </w:r>
    </w:p>
    <w:p w:rsidR="00345131" w:rsidRPr="005F71E3" w:rsidRDefault="00345131" w:rsidP="00345131">
      <w:pPr>
        <w:jc w:val="both"/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 xml:space="preserve">   In this study of the 167 patients, there was male preponderance (61.7% vs 38.3%)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F71E3">
        <w:rPr>
          <w:rFonts w:ascii="Times New Roman" w:hAnsi="Times New Roman" w:cs="Times New Roman"/>
          <w:sz w:val="24"/>
          <w:szCs w:val="24"/>
        </w:rPr>
        <w:t>Table 1). The mean age was 30.76± 16.58 yrs, the youngest being 3 yrs of age whereas oldest, 90 years of age.  Patients below 16 years accounted for 17.37% of study population (Table 1). Maximum patients were of age group 16 -30 yrs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1E3">
        <w:rPr>
          <w:rFonts w:ascii="Times New Roman" w:hAnsi="Times New Roman" w:cs="Times New Roman"/>
          <w:sz w:val="24"/>
          <w:szCs w:val="24"/>
        </w:rPr>
        <w:t>(n=62, 37.13%). Patients above 60 years accounted for 5.99%.</w:t>
      </w:r>
    </w:p>
    <w:p w:rsidR="00345131" w:rsidRPr="005F71E3" w:rsidRDefault="00345131" w:rsidP="00345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71E3">
        <w:rPr>
          <w:rFonts w:ascii="Times New Roman" w:hAnsi="Times New Roman" w:cs="Times New Roman"/>
          <w:sz w:val="24"/>
          <w:szCs w:val="24"/>
        </w:rPr>
        <w:t xml:space="preserve">In 44.9% (n 75) cases </w:t>
      </w:r>
      <w:r>
        <w:rPr>
          <w:rFonts w:ascii="Times New Roman" w:hAnsi="Times New Roman" w:cs="Times New Roman"/>
          <w:sz w:val="24"/>
          <w:szCs w:val="24"/>
        </w:rPr>
        <w:t xml:space="preserve">right eye was involved whereas </w:t>
      </w:r>
      <w:r w:rsidRPr="005F71E3">
        <w:rPr>
          <w:rFonts w:ascii="Times New Roman" w:hAnsi="Times New Roman" w:cs="Times New Roman"/>
          <w:sz w:val="24"/>
          <w:szCs w:val="24"/>
        </w:rPr>
        <w:t xml:space="preserve">55.1% </w:t>
      </w:r>
      <w:r>
        <w:rPr>
          <w:rFonts w:ascii="Times New Roman" w:hAnsi="Times New Roman" w:cs="Times New Roman"/>
          <w:sz w:val="24"/>
          <w:szCs w:val="24"/>
        </w:rPr>
        <w:t>(n 92)</w:t>
      </w:r>
      <w:r w:rsidRPr="005F71E3">
        <w:rPr>
          <w:rFonts w:ascii="Times New Roman" w:hAnsi="Times New Roman" w:cs="Times New Roman"/>
          <w:sz w:val="24"/>
          <w:szCs w:val="24"/>
        </w:rPr>
        <w:t xml:space="preserve"> cases had involvement of left eye.(Table 2)</w:t>
      </w:r>
    </w:p>
    <w:p w:rsidR="00345131" w:rsidRPr="005F71E3" w:rsidRDefault="00345131" w:rsidP="00345131">
      <w:pPr>
        <w:jc w:val="both"/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 xml:space="preserve">   The most common mode of injury was accidental (70.65%) followed by physical assault (12.6%), fall injury </w:t>
      </w:r>
      <w:r>
        <w:rPr>
          <w:rFonts w:ascii="Times New Roman" w:hAnsi="Times New Roman" w:cs="Times New Roman"/>
          <w:sz w:val="24"/>
          <w:szCs w:val="24"/>
        </w:rPr>
        <w:t xml:space="preserve">(9%) and road traffic accident </w:t>
      </w:r>
      <w:r w:rsidRPr="005F71E3">
        <w:rPr>
          <w:rFonts w:ascii="Times New Roman" w:hAnsi="Times New Roman" w:cs="Times New Roman"/>
          <w:sz w:val="24"/>
          <w:szCs w:val="24"/>
        </w:rPr>
        <w:t>(7.8%). (Table 3)</w:t>
      </w:r>
    </w:p>
    <w:p w:rsidR="00345131" w:rsidRPr="005F71E3" w:rsidRDefault="00345131" w:rsidP="00345131">
      <w:pPr>
        <w:jc w:val="both"/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>The most common site of injury was household (38.92%) followed by outdoor recreational activities (17.96%) and workplace (14.97%). (Table 4)</w:t>
      </w:r>
    </w:p>
    <w:p w:rsidR="00345131" w:rsidRPr="005F71E3" w:rsidRDefault="00345131" w:rsidP="00345131">
      <w:pPr>
        <w:jc w:val="both"/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 xml:space="preserve">Anterior segment was involved in 86.4% and posterior segment was involved in 12.6%. </w:t>
      </w:r>
    </w:p>
    <w:p w:rsidR="00345131" w:rsidRPr="005F71E3" w:rsidRDefault="00345131" w:rsidP="00345131">
      <w:pPr>
        <w:jc w:val="both"/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lastRenderedPageBreak/>
        <w:t>Conjunctival laceration (21.55%) and traumatic uveitis(21.55%) were the commonest followed by lid ecchymosis (18.7%). In posterior segment commotio retinae (5.69%) was the commonest. (Table 5)</w:t>
      </w:r>
    </w:p>
    <w:p w:rsidR="00345131" w:rsidRPr="005F71E3" w:rsidRDefault="00345131" w:rsidP="00345131">
      <w:pPr>
        <w:jc w:val="both"/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 xml:space="preserve">  In our study, 79.64% had good vision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F71E3">
        <w:rPr>
          <w:rFonts w:ascii="Times New Roman" w:hAnsi="Times New Roman" w:cs="Times New Roman"/>
          <w:sz w:val="24"/>
          <w:szCs w:val="24"/>
        </w:rPr>
        <w:t>6/6 -6/18) whereas 7.78% cases were blind (vision less than 3/60). (Table 6)</w:t>
      </w:r>
    </w:p>
    <w:p w:rsidR="00345131" w:rsidRPr="005F71E3" w:rsidRDefault="00345131" w:rsidP="00345131">
      <w:pPr>
        <w:jc w:val="both"/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>The commonest agent of injury was stick (16.77%) followed by stone (14.97%). (Table 7)</w:t>
      </w:r>
    </w:p>
    <w:p w:rsidR="00345131" w:rsidRPr="005F71E3" w:rsidRDefault="00345131" w:rsidP="00345131">
      <w:pPr>
        <w:jc w:val="both"/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>Table 1: Demographic characteristics</w:t>
      </w:r>
    </w:p>
    <w:tbl>
      <w:tblPr>
        <w:tblStyle w:val="TableGrid"/>
        <w:tblW w:w="0" w:type="auto"/>
        <w:tblLook w:val="04A0"/>
      </w:tblPr>
      <w:tblGrid>
        <w:gridCol w:w="1998"/>
        <w:gridCol w:w="3780"/>
      </w:tblGrid>
      <w:tr w:rsidR="00345131" w:rsidRPr="005F71E3" w:rsidTr="00BB5E9B">
        <w:tc>
          <w:tcPr>
            <w:tcW w:w="1998" w:type="dxa"/>
          </w:tcPr>
          <w:p w:rsidR="00345131" w:rsidRPr="005F71E3" w:rsidRDefault="00345131" w:rsidP="00BB5E9B">
            <w:pPr>
              <w:rPr>
                <w:b/>
                <w:sz w:val="24"/>
                <w:szCs w:val="24"/>
              </w:rPr>
            </w:pPr>
            <w:r w:rsidRPr="005F71E3"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3780" w:type="dxa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Number of cases </w:t>
            </w:r>
            <w:r>
              <w:rPr>
                <w:sz w:val="24"/>
                <w:szCs w:val="24"/>
              </w:rPr>
              <w:t>(</w:t>
            </w:r>
            <w:r w:rsidRPr="005F71E3">
              <w:rPr>
                <w:sz w:val="24"/>
                <w:szCs w:val="24"/>
              </w:rPr>
              <w:t>percentage)</w:t>
            </w:r>
          </w:p>
        </w:tc>
      </w:tr>
      <w:tr w:rsidR="00345131" w:rsidRPr="005F71E3" w:rsidTr="00BB5E9B">
        <w:tc>
          <w:tcPr>
            <w:tcW w:w="1998" w:type="dxa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Male</w:t>
            </w:r>
          </w:p>
        </w:tc>
        <w:tc>
          <w:tcPr>
            <w:tcW w:w="3780" w:type="dxa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103 ((61.7%)</w:t>
            </w:r>
          </w:p>
        </w:tc>
      </w:tr>
      <w:tr w:rsidR="00345131" w:rsidRPr="005F71E3" w:rsidTr="00BB5E9B">
        <w:tc>
          <w:tcPr>
            <w:tcW w:w="1998" w:type="dxa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Female</w:t>
            </w:r>
          </w:p>
        </w:tc>
        <w:tc>
          <w:tcPr>
            <w:tcW w:w="3780" w:type="dxa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64 (38.3%)</w:t>
            </w:r>
          </w:p>
        </w:tc>
      </w:tr>
      <w:tr w:rsidR="00345131" w:rsidRPr="005F71E3" w:rsidTr="00BB5E9B">
        <w:tc>
          <w:tcPr>
            <w:tcW w:w="1998" w:type="dxa"/>
          </w:tcPr>
          <w:p w:rsidR="00345131" w:rsidRPr="005F71E3" w:rsidRDefault="00345131" w:rsidP="00BB5E9B">
            <w:pPr>
              <w:rPr>
                <w:b/>
                <w:sz w:val="24"/>
                <w:szCs w:val="24"/>
              </w:rPr>
            </w:pPr>
            <w:r w:rsidRPr="005F71E3">
              <w:rPr>
                <w:b/>
                <w:sz w:val="24"/>
                <w:szCs w:val="24"/>
              </w:rPr>
              <w:t>Age group</w:t>
            </w:r>
          </w:p>
        </w:tc>
        <w:tc>
          <w:tcPr>
            <w:tcW w:w="3780" w:type="dxa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</w:p>
        </w:tc>
      </w:tr>
      <w:tr w:rsidR="00345131" w:rsidRPr="005F71E3" w:rsidTr="00BB5E9B">
        <w:tc>
          <w:tcPr>
            <w:tcW w:w="1998" w:type="dxa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&lt;16yrs</w:t>
            </w:r>
          </w:p>
        </w:tc>
        <w:tc>
          <w:tcPr>
            <w:tcW w:w="3780" w:type="dxa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29 (17.37%)</w:t>
            </w:r>
          </w:p>
        </w:tc>
      </w:tr>
      <w:tr w:rsidR="00345131" w:rsidRPr="005F71E3" w:rsidTr="00BB5E9B">
        <w:tc>
          <w:tcPr>
            <w:tcW w:w="1998" w:type="dxa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16-30 yrs</w:t>
            </w:r>
          </w:p>
        </w:tc>
        <w:tc>
          <w:tcPr>
            <w:tcW w:w="3780" w:type="dxa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62 (37.13%)</w:t>
            </w:r>
          </w:p>
        </w:tc>
      </w:tr>
      <w:tr w:rsidR="00345131" w:rsidRPr="005F71E3" w:rsidTr="00BB5E9B">
        <w:tc>
          <w:tcPr>
            <w:tcW w:w="1998" w:type="dxa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31-45 yrs</w:t>
            </w:r>
          </w:p>
        </w:tc>
        <w:tc>
          <w:tcPr>
            <w:tcW w:w="3780" w:type="dxa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48 (28.74%)</w:t>
            </w:r>
          </w:p>
        </w:tc>
      </w:tr>
      <w:tr w:rsidR="00345131" w:rsidRPr="005F71E3" w:rsidTr="00BB5E9B">
        <w:tc>
          <w:tcPr>
            <w:tcW w:w="1998" w:type="dxa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46-60 yrs</w:t>
            </w:r>
          </w:p>
        </w:tc>
        <w:tc>
          <w:tcPr>
            <w:tcW w:w="3780" w:type="dxa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18 (10.78%)</w:t>
            </w:r>
          </w:p>
        </w:tc>
      </w:tr>
      <w:tr w:rsidR="00345131" w:rsidRPr="005F71E3" w:rsidTr="00BB5E9B">
        <w:tc>
          <w:tcPr>
            <w:tcW w:w="1998" w:type="dxa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&gt;60 yrs</w:t>
            </w:r>
          </w:p>
        </w:tc>
        <w:tc>
          <w:tcPr>
            <w:tcW w:w="3780" w:type="dxa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10 (5.99%)</w:t>
            </w:r>
          </w:p>
        </w:tc>
      </w:tr>
    </w:tbl>
    <w:p w:rsidR="00345131" w:rsidRPr="005F71E3" w:rsidRDefault="00345131" w:rsidP="00345131">
      <w:pPr>
        <w:rPr>
          <w:sz w:val="24"/>
          <w:szCs w:val="24"/>
        </w:rPr>
      </w:pPr>
    </w:p>
    <w:p w:rsidR="00345131" w:rsidRPr="005F71E3" w:rsidRDefault="00345131" w:rsidP="00345131">
      <w:pPr>
        <w:rPr>
          <w:sz w:val="24"/>
          <w:szCs w:val="24"/>
        </w:rPr>
      </w:pPr>
      <w:r>
        <w:rPr>
          <w:sz w:val="24"/>
          <w:szCs w:val="24"/>
        </w:rPr>
        <w:t xml:space="preserve">Table 2: </w:t>
      </w:r>
      <w:r w:rsidRPr="005F71E3">
        <w:rPr>
          <w:sz w:val="24"/>
          <w:szCs w:val="24"/>
        </w:rPr>
        <w:t xml:space="preserve"> Table showing eyes affected </w:t>
      </w:r>
    </w:p>
    <w:tbl>
      <w:tblPr>
        <w:tblW w:w="3618" w:type="dxa"/>
        <w:tblCellMar>
          <w:left w:w="0" w:type="dxa"/>
          <w:right w:w="0" w:type="dxa"/>
        </w:tblCellMar>
        <w:tblLook w:val="04A0"/>
      </w:tblPr>
      <w:tblGrid>
        <w:gridCol w:w="1278"/>
        <w:gridCol w:w="1260"/>
        <w:gridCol w:w="1080"/>
      </w:tblGrid>
      <w:tr w:rsidR="00345131" w:rsidRPr="005F71E3" w:rsidTr="00BB5E9B">
        <w:trPr>
          <w:trHeight w:val="44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Eye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No.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%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</w:tr>
      <w:tr w:rsidR="00345131" w:rsidRPr="005F71E3" w:rsidTr="00BB5E9B"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Right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44.9 </w:t>
            </w:r>
          </w:p>
        </w:tc>
      </w:tr>
      <w:tr w:rsidR="00345131" w:rsidRPr="005F71E3" w:rsidTr="00BB5E9B"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Left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92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55.1 </w:t>
            </w:r>
          </w:p>
        </w:tc>
      </w:tr>
      <w:tr w:rsidR="00345131" w:rsidRPr="005F71E3" w:rsidTr="00BB5E9B"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Total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167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100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</w:tr>
    </w:tbl>
    <w:p w:rsidR="00345131" w:rsidRPr="005F71E3" w:rsidRDefault="00345131" w:rsidP="00345131">
      <w:pPr>
        <w:rPr>
          <w:sz w:val="24"/>
          <w:szCs w:val="24"/>
        </w:rPr>
      </w:pPr>
    </w:p>
    <w:p w:rsidR="00345131" w:rsidRPr="005F71E3" w:rsidRDefault="00345131" w:rsidP="00345131">
      <w:pPr>
        <w:rPr>
          <w:sz w:val="24"/>
          <w:szCs w:val="24"/>
        </w:rPr>
      </w:pPr>
      <w:r w:rsidRPr="005F71E3">
        <w:rPr>
          <w:sz w:val="24"/>
          <w:szCs w:val="24"/>
        </w:rPr>
        <w:t xml:space="preserve">Table 3: Table showing cause of injury </w:t>
      </w:r>
    </w:p>
    <w:tbl>
      <w:tblPr>
        <w:tblW w:w="5085" w:type="dxa"/>
        <w:tblCellMar>
          <w:left w:w="0" w:type="dxa"/>
          <w:right w:w="0" w:type="dxa"/>
        </w:tblCellMar>
        <w:tblLook w:val="04A0"/>
      </w:tblPr>
      <w:tblGrid>
        <w:gridCol w:w="2898"/>
        <w:gridCol w:w="2187"/>
      </w:tblGrid>
      <w:tr w:rsidR="00345131" w:rsidRPr="005F71E3" w:rsidTr="00BB5E9B">
        <w:trPr>
          <w:trHeight w:val="483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lastRenderedPageBreak/>
              <w:t>Mode of injury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No. of patients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F71E3">
              <w:rPr>
                <w:b/>
                <w:bCs/>
                <w:sz w:val="24"/>
                <w:szCs w:val="24"/>
              </w:rPr>
              <w:t>(%)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</w:tr>
      <w:tr w:rsidR="00345131" w:rsidRPr="005F71E3" w:rsidTr="00BB5E9B">
        <w:trPr>
          <w:trHeight w:val="483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Accidental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118 (70.65%) </w:t>
            </w:r>
          </w:p>
        </w:tc>
      </w:tr>
      <w:tr w:rsidR="00345131" w:rsidRPr="005F71E3" w:rsidTr="00BB5E9B">
        <w:trPr>
          <w:trHeight w:val="465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Physical assault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21 (12.6%) </w:t>
            </w:r>
          </w:p>
        </w:tc>
      </w:tr>
      <w:tr w:rsidR="00345131" w:rsidRPr="005F71E3" w:rsidTr="00BB5E9B">
        <w:trPr>
          <w:trHeight w:val="456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Fall injury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15 (9%) </w:t>
            </w:r>
          </w:p>
        </w:tc>
      </w:tr>
      <w:tr w:rsidR="00345131" w:rsidRPr="005F71E3" w:rsidTr="00BB5E9B">
        <w:trPr>
          <w:trHeight w:val="456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Road traffic accident (RTA)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13 (7.8%) </w:t>
            </w:r>
          </w:p>
        </w:tc>
      </w:tr>
      <w:tr w:rsidR="00345131" w:rsidRPr="005F71E3" w:rsidTr="00BB5E9B">
        <w:trPr>
          <w:trHeight w:val="438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Total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167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</w:tr>
    </w:tbl>
    <w:p w:rsidR="00345131" w:rsidRPr="005F71E3" w:rsidRDefault="00345131" w:rsidP="00345131">
      <w:pPr>
        <w:rPr>
          <w:sz w:val="24"/>
          <w:szCs w:val="24"/>
        </w:rPr>
      </w:pPr>
    </w:p>
    <w:p w:rsidR="00345131" w:rsidRPr="005F71E3" w:rsidRDefault="00345131" w:rsidP="00345131">
      <w:pPr>
        <w:rPr>
          <w:sz w:val="24"/>
          <w:szCs w:val="24"/>
        </w:rPr>
      </w:pPr>
      <w:r w:rsidRPr="005F71E3">
        <w:rPr>
          <w:sz w:val="24"/>
          <w:szCs w:val="24"/>
        </w:rPr>
        <w:t xml:space="preserve">Table 4: Table showing scenario of injury </w:t>
      </w:r>
    </w:p>
    <w:tbl>
      <w:tblPr>
        <w:tblW w:w="5688" w:type="dxa"/>
        <w:tblCellMar>
          <w:left w:w="0" w:type="dxa"/>
          <w:right w:w="0" w:type="dxa"/>
        </w:tblCellMar>
        <w:tblLook w:val="04A0"/>
      </w:tblPr>
      <w:tblGrid>
        <w:gridCol w:w="3438"/>
        <w:gridCol w:w="2250"/>
      </w:tblGrid>
      <w:tr w:rsidR="00345131" w:rsidRPr="005F71E3" w:rsidTr="00BB5E9B">
        <w:trPr>
          <w:trHeight w:val="411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Scenario of injury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No. of patients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F71E3">
              <w:rPr>
                <w:b/>
                <w:bCs/>
                <w:sz w:val="24"/>
                <w:szCs w:val="24"/>
              </w:rPr>
              <w:t>(%)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</w:tr>
      <w:tr w:rsidR="00345131" w:rsidRPr="005F71E3" w:rsidTr="00BB5E9B">
        <w:trPr>
          <w:trHeight w:val="375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Household injury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65 (38.92%) </w:t>
            </w:r>
          </w:p>
        </w:tc>
      </w:tr>
      <w:tr w:rsidR="00345131" w:rsidRPr="005F71E3" w:rsidTr="00BB5E9B">
        <w:trPr>
          <w:trHeight w:val="321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Workplace injury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25 (14.97%) </w:t>
            </w:r>
          </w:p>
        </w:tc>
      </w:tr>
      <w:tr w:rsidR="00345131" w:rsidRPr="005F71E3" w:rsidTr="00BB5E9B">
        <w:trPr>
          <w:trHeight w:val="402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Outdoor (Recreational activities)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30 (17.96%) </w:t>
            </w:r>
          </w:p>
        </w:tc>
      </w:tr>
      <w:tr w:rsidR="00345131" w:rsidRPr="005F71E3" w:rsidTr="00BB5E9B">
        <w:trPr>
          <w:trHeight w:val="384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School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2 (1.19%) </w:t>
            </w:r>
          </w:p>
        </w:tc>
      </w:tr>
      <w:tr w:rsidR="00345131" w:rsidRPr="005F71E3" w:rsidTr="00BB5E9B">
        <w:trPr>
          <w:trHeight w:val="384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Physical assault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19 (11.38%) </w:t>
            </w:r>
          </w:p>
        </w:tc>
      </w:tr>
      <w:tr w:rsidR="00345131" w:rsidRPr="005F71E3" w:rsidTr="00BB5E9B">
        <w:trPr>
          <w:trHeight w:val="348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Road traffic accident (RTA)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15 (8.99%) </w:t>
            </w:r>
          </w:p>
        </w:tc>
      </w:tr>
      <w:tr w:rsidR="00345131" w:rsidRPr="005F71E3" w:rsidTr="00BB5E9B">
        <w:trPr>
          <w:trHeight w:val="366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Fall injury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11(6.59%) </w:t>
            </w:r>
          </w:p>
        </w:tc>
      </w:tr>
      <w:tr w:rsidR="00345131" w:rsidRPr="005F71E3" w:rsidTr="00BB5E9B">
        <w:trPr>
          <w:trHeight w:val="366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Total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167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</w:tr>
    </w:tbl>
    <w:p w:rsidR="00345131" w:rsidRPr="005F71E3" w:rsidRDefault="00345131" w:rsidP="00345131">
      <w:pPr>
        <w:rPr>
          <w:sz w:val="24"/>
          <w:szCs w:val="24"/>
        </w:rPr>
      </w:pPr>
    </w:p>
    <w:p w:rsidR="00345131" w:rsidRPr="005F71E3" w:rsidRDefault="00345131" w:rsidP="00345131">
      <w:pPr>
        <w:rPr>
          <w:sz w:val="24"/>
          <w:szCs w:val="24"/>
        </w:rPr>
      </w:pPr>
    </w:p>
    <w:p w:rsidR="00345131" w:rsidRPr="005F71E3" w:rsidRDefault="00345131" w:rsidP="00345131">
      <w:pPr>
        <w:rPr>
          <w:sz w:val="24"/>
          <w:szCs w:val="24"/>
        </w:rPr>
      </w:pPr>
    </w:p>
    <w:p w:rsidR="00345131" w:rsidRPr="005F71E3" w:rsidRDefault="00345131" w:rsidP="00345131">
      <w:pPr>
        <w:rPr>
          <w:sz w:val="24"/>
          <w:szCs w:val="24"/>
        </w:rPr>
      </w:pPr>
      <w:r w:rsidRPr="005F71E3">
        <w:rPr>
          <w:sz w:val="24"/>
          <w:szCs w:val="24"/>
        </w:rPr>
        <w:t xml:space="preserve">Table 5: Table showing site of ocular involvement </w:t>
      </w:r>
    </w:p>
    <w:p w:rsidR="00345131" w:rsidRPr="005F71E3" w:rsidRDefault="00345131" w:rsidP="00345131">
      <w:pPr>
        <w:rPr>
          <w:sz w:val="24"/>
          <w:szCs w:val="24"/>
        </w:rPr>
      </w:pPr>
    </w:p>
    <w:tbl>
      <w:tblPr>
        <w:tblW w:w="12331" w:type="dxa"/>
        <w:tblInd w:w="-720" w:type="dxa"/>
        <w:tblCellMar>
          <w:left w:w="0" w:type="dxa"/>
          <w:right w:w="0" w:type="dxa"/>
        </w:tblCellMar>
        <w:tblLook w:val="04A0"/>
      </w:tblPr>
      <w:tblGrid>
        <w:gridCol w:w="1817"/>
        <w:gridCol w:w="3086"/>
        <w:gridCol w:w="1640"/>
        <w:gridCol w:w="1254"/>
        <w:gridCol w:w="2894"/>
        <w:gridCol w:w="16"/>
        <w:gridCol w:w="1624"/>
      </w:tblGrid>
      <w:tr w:rsidR="00345131" w:rsidRPr="005F71E3" w:rsidTr="00BB5E9B">
        <w:trPr>
          <w:trHeight w:val="169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lastRenderedPageBreak/>
              <w:t>Ocular structures involved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Clinical findings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No. of eyes (%)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Ocular structures involved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Clinical findings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No. of eyes (%)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</w:tr>
      <w:tr w:rsidR="00345131" w:rsidRPr="005F71E3" w:rsidTr="00BB5E9B">
        <w:trPr>
          <w:trHeight w:val="169"/>
        </w:trPr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Lid 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 xml:space="preserve">Lid ecchymosis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46 (18.7%) 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Lens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Traumatic cataract 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1 (0.41%) </w:t>
            </w:r>
          </w:p>
        </w:tc>
      </w:tr>
      <w:tr w:rsidR="00345131" w:rsidRPr="005F71E3" w:rsidTr="00BB5E9B">
        <w:trPr>
          <w:trHeight w:val="169"/>
        </w:trPr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Lid laceration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12 (4.88%) </w:t>
            </w: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Subluxation of lens 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2 (0.81%) </w:t>
            </w:r>
          </w:p>
        </w:tc>
      </w:tr>
      <w:tr w:rsidR="00345131" w:rsidRPr="005F71E3" w:rsidTr="00BB5E9B">
        <w:trPr>
          <w:trHeight w:val="339"/>
        </w:trPr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Conjunctiva 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Subconjunctival haemorrhage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13 (5.28%) </w:t>
            </w: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Dislocation of lens in vitreous 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2 (0.81%) </w:t>
            </w:r>
          </w:p>
        </w:tc>
      </w:tr>
      <w:tr w:rsidR="00345131" w:rsidRPr="005F71E3" w:rsidTr="00BB5E9B">
        <w:trPr>
          <w:trHeight w:val="169"/>
        </w:trPr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 xml:space="preserve">Conjunctival laceration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53 (21.55%) 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Posterior segment </w:t>
            </w:r>
          </w:p>
          <w:p w:rsidR="00345131" w:rsidRPr="005F71E3" w:rsidRDefault="00345131" w:rsidP="00BB5E9B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</w:rPr>
            </w:pPr>
            <w:r w:rsidRPr="005F71E3">
              <w:rPr>
                <w:rFonts w:eastAsia="Calibri"/>
                <w:color w:val="000000"/>
                <w:kern w:val="24"/>
              </w:rPr>
              <w:t>Vitreous haemorrhage</w:t>
            </w:r>
            <w:r w:rsidRPr="005F71E3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</w:rPr>
            </w:pPr>
            <w:r w:rsidRPr="005F71E3">
              <w:rPr>
                <w:rFonts w:eastAsia="Calibri"/>
                <w:color w:val="000000"/>
                <w:kern w:val="24"/>
              </w:rPr>
              <w:t>7 (2.85%)</w:t>
            </w:r>
            <w:r w:rsidRPr="005F71E3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</w:tr>
      <w:tr w:rsidR="00345131" w:rsidRPr="005F71E3" w:rsidTr="00BB5E9B">
        <w:trPr>
          <w:trHeight w:val="169"/>
        </w:trPr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Cornea 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Corneal abrasion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14 (5.69%) </w:t>
            </w: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</w:rPr>
            </w:pPr>
            <w:r w:rsidRPr="005F71E3">
              <w:rPr>
                <w:rFonts w:eastAsia="Calibri"/>
                <w:color w:val="000000"/>
                <w:kern w:val="24"/>
              </w:rPr>
              <w:t>Choroidal rupture</w:t>
            </w:r>
            <w:r w:rsidRPr="005F71E3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</w:rPr>
            </w:pPr>
            <w:r w:rsidRPr="005F71E3">
              <w:rPr>
                <w:rFonts w:eastAsia="Calibri"/>
                <w:color w:val="000000"/>
                <w:kern w:val="24"/>
              </w:rPr>
              <w:t>2 (0.81%)</w:t>
            </w:r>
            <w:r w:rsidRPr="005F71E3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</w:tr>
      <w:tr w:rsidR="00345131" w:rsidRPr="005F71E3" w:rsidTr="00BB5E9B">
        <w:trPr>
          <w:trHeight w:val="169"/>
        </w:trPr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Corneal lamellar laceration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1 (0.41%) </w:t>
            </w: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</w:rPr>
            </w:pPr>
            <w:r w:rsidRPr="005F71E3">
              <w:rPr>
                <w:rFonts w:eastAsia="Calibri"/>
                <w:b/>
                <w:bCs/>
                <w:color w:val="000000"/>
                <w:kern w:val="24"/>
              </w:rPr>
              <w:t>Commotio retinae</w:t>
            </w:r>
            <w:r w:rsidRPr="005F71E3"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</w:rPr>
            </w:pPr>
            <w:r w:rsidRPr="005F71E3">
              <w:rPr>
                <w:rFonts w:eastAsia="Calibri"/>
                <w:color w:val="C00000"/>
                <w:kern w:val="24"/>
              </w:rPr>
              <w:t>14 (5.69%)</w:t>
            </w:r>
            <w:r w:rsidRPr="005F71E3">
              <w:rPr>
                <w:rFonts w:ascii="Calibri" w:eastAsia="Calibri" w:hAnsi="Calibri"/>
                <w:color w:val="C00000"/>
                <w:kern w:val="24"/>
              </w:rPr>
              <w:t xml:space="preserve"> </w:t>
            </w:r>
          </w:p>
        </w:tc>
      </w:tr>
      <w:tr w:rsidR="00345131" w:rsidRPr="005F71E3" w:rsidTr="00BB5E9B">
        <w:trPr>
          <w:trHeight w:val="169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Iris 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Hyphaema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15 (6.1%)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</w:rPr>
            </w:pPr>
            <w:r w:rsidRPr="005F71E3">
              <w:rPr>
                <w:rFonts w:eastAsia="Calibri"/>
                <w:color w:val="000000"/>
                <w:kern w:val="24"/>
              </w:rPr>
              <w:t>Berlin’s edema</w:t>
            </w:r>
            <w:r w:rsidRPr="005F71E3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345131" w:rsidRPr="005F71E3" w:rsidRDefault="00345131" w:rsidP="00BB5E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</w:rPr>
            </w:pPr>
            <w:r w:rsidRPr="005F71E3">
              <w:rPr>
                <w:rFonts w:eastAsia="Calibri"/>
                <w:color w:val="000000"/>
                <w:kern w:val="24"/>
              </w:rPr>
              <w:t>3 (1.22%)</w:t>
            </w:r>
            <w:r w:rsidRPr="005F71E3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</w:tr>
      <w:tr w:rsidR="00345131" w:rsidRPr="005F71E3" w:rsidTr="00BB5E9B">
        <w:trPr>
          <w:trHeight w:val="169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Traumatic mydriasis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2 (0.81%)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345131" w:rsidRPr="005F71E3" w:rsidRDefault="00345131" w:rsidP="00BB5E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</w:rPr>
            </w:pPr>
            <w:r w:rsidRPr="005F71E3">
              <w:rPr>
                <w:rFonts w:eastAsia="Calibri"/>
                <w:color w:val="000000"/>
                <w:kern w:val="24"/>
              </w:rPr>
              <w:t>Macular hole</w:t>
            </w:r>
            <w:r w:rsidRPr="005F71E3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345131" w:rsidRPr="005F71E3" w:rsidRDefault="00345131" w:rsidP="00BB5E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</w:rPr>
            </w:pPr>
            <w:r w:rsidRPr="005F71E3">
              <w:rPr>
                <w:rFonts w:eastAsia="Calibri"/>
                <w:color w:val="000000"/>
                <w:kern w:val="24"/>
              </w:rPr>
              <w:t>2 (0.81%)</w:t>
            </w:r>
            <w:r w:rsidRPr="005F71E3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</w:tr>
      <w:tr w:rsidR="00345131" w:rsidRPr="005F71E3" w:rsidTr="00BB5E9B">
        <w:trPr>
          <w:trHeight w:val="169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 xml:space="preserve">Traumatic uveitis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53 (21.55%)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345131" w:rsidRPr="005F71E3" w:rsidRDefault="00345131" w:rsidP="00BB5E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</w:rPr>
            </w:pPr>
            <w:r w:rsidRPr="005F71E3">
              <w:rPr>
                <w:rFonts w:eastAsia="Calibri"/>
                <w:color w:val="000000"/>
                <w:kern w:val="24"/>
              </w:rPr>
              <w:t>Retinal detachment</w:t>
            </w:r>
            <w:r w:rsidRPr="005F71E3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345131" w:rsidRPr="005F71E3" w:rsidRDefault="00345131" w:rsidP="00BB5E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</w:rPr>
            </w:pPr>
            <w:r w:rsidRPr="005F71E3">
              <w:rPr>
                <w:rFonts w:eastAsia="Calibri"/>
                <w:color w:val="000000"/>
                <w:kern w:val="24"/>
              </w:rPr>
              <w:t>3 (1.22%)</w:t>
            </w:r>
            <w:r w:rsidRPr="005F71E3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</w:tr>
      <w:tr w:rsidR="00345131" w:rsidRPr="005F71E3" w:rsidTr="00BB5E9B">
        <w:trPr>
          <w:trHeight w:val="169"/>
        </w:trPr>
        <w:tc>
          <w:tcPr>
            <w:tcW w:w="6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Ocular NAD </w:t>
            </w:r>
          </w:p>
          <w:p w:rsidR="00345131" w:rsidRPr="005F71E3" w:rsidRDefault="00345131" w:rsidP="00BB5E9B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345131" w:rsidRPr="005F71E3" w:rsidRDefault="00345131" w:rsidP="00BB5E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</w:rPr>
            </w:pPr>
            <w:r w:rsidRPr="005F71E3">
              <w:rPr>
                <w:rFonts w:eastAsia="Calibri"/>
                <w:color w:val="000000"/>
                <w:kern w:val="24"/>
              </w:rPr>
              <w:t>No pathology detected</w:t>
            </w:r>
            <w:r w:rsidRPr="005F71E3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345131" w:rsidRPr="005F71E3" w:rsidRDefault="00345131" w:rsidP="00BB5E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</w:rPr>
            </w:pPr>
            <w:r w:rsidRPr="005F71E3">
              <w:rPr>
                <w:rFonts w:eastAsia="Calibri"/>
                <w:color w:val="000000"/>
                <w:kern w:val="24"/>
              </w:rPr>
              <w:t>1 (0.41%)</w:t>
            </w:r>
            <w:r w:rsidRPr="005F71E3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</w:tr>
    </w:tbl>
    <w:p w:rsidR="00345131" w:rsidRPr="005F71E3" w:rsidRDefault="00345131" w:rsidP="00345131">
      <w:pPr>
        <w:rPr>
          <w:sz w:val="24"/>
          <w:szCs w:val="24"/>
        </w:rPr>
      </w:pPr>
    </w:p>
    <w:p w:rsidR="00345131" w:rsidRPr="005F71E3" w:rsidRDefault="00345131" w:rsidP="00345131">
      <w:pPr>
        <w:rPr>
          <w:sz w:val="24"/>
          <w:szCs w:val="24"/>
        </w:rPr>
      </w:pPr>
      <w:r>
        <w:rPr>
          <w:sz w:val="24"/>
          <w:szCs w:val="24"/>
        </w:rPr>
        <w:t xml:space="preserve">Table 6: </w:t>
      </w:r>
      <w:r w:rsidRPr="005F71E3">
        <w:rPr>
          <w:sz w:val="24"/>
          <w:szCs w:val="24"/>
        </w:rPr>
        <w:t xml:space="preserve"> Table showing visual status of involved eye</w:t>
      </w:r>
    </w:p>
    <w:tbl>
      <w:tblPr>
        <w:tblW w:w="6498" w:type="dxa"/>
        <w:tblCellMar>
          <w:left w:w="0" w:type="dxa"/>
          <w:right w:w="0" w:type="dxa"/>
        </w:tblCellMar>
        <w:tblLook w:val="04A0"/>
      </w:tblPr>
      <w:tblGrid>
        <w:gridCol w:w="3258"/>
        <w:gridCol w:w="3240"/>
      </w:tblGrid>
      <w:tr w:rsidR="00345131" w:rsidRPr="005F71E3" w:rsidTr="00BB5E9B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Visual status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Number of patients (%)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</w:tr>
      <w:tr w:rsidR="00345131" w:rsidRPr="005F71E3" w:rsidTr="00BB5E9B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6/6-6/18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133 (79.64%) </w:t>
            </w:r>
          </w:p>
        </w:tc>
      </w:tr>
      <w:tr w:rsidR="00345131" w:rsidRPr="005F71E3" w:rsidTr="00BB5E9B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6/24-6/60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13 (7.78%) </w:t>
            </w:r>
          </w:p>
        </w:tc>
      </w:tr>
      <w:tr w:rsidR="00345131" w:rsidRPr="005F71E3" w:rsidTr="00BB5E9B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5/60-3/60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5 (2.99%) </w:t>
            </w:r>
          </w:p>
        </w:tc>
      </w:tr>
      <w:tr w:rsidR="00345131" w:rsidRPr="005F71E3" w:rsidTr="00BB5E9B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&lt;3/60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13 (7.78%) </w:t>
            </w:r>
          </w:p>
        </w:tc>
      </w:tr>
      <w:tr w:rsidR="00345131" w:rsidRPr="005F71E3" w:rsidTr="00BB5E9B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>Follows and fixates light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sz w:val="24"/>
                <w:szCs w:val="24"/>
              </w:rPr>
              <w:t xml:space="preserve">3 (1.80%) </w:t>
            </w:r>
          </w:p>
        </w:tc>
      </w:tr>
      <w:tr w:rsidR="00345131" w:rsidRPr="005F71E3" w:rsidTr="00BB5E9B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5131" w:rsidRPr="005F71E3" w:rsidRDefault="00345131" w:rsidP="00BB5E9B">
            <w:pPr>
              <w:rPr>
                <w:sz w:val="24"/>
                <w:szCs w:val="24"/>
              </w:rPr>
            </w:pPr>
            <w:r w:rsidRPr="005F71E3">
              <w:rPr>
                <w:b/>
                <w:bCs/>
                <w:sz w:val="24"/>
                <w:szCs w:val="24"/>
              </w:rPr>
              <w:t>167</w:t>
            </w:r>
            <w:r w:rsidRPr="005F71E3">
              <w:rPr>
                <w:sz w:val="24"/>
                <w:szCs w:val="24"/>
              </w:rPr>
              <w:t xml:space="preserve"> </w:t>
            </w:r>
          </w:p>
        </w:tc>
      </w:tr>
    </w:tbl>
    <w:p w:rsidR="00345131" w:rsidRPr="005F71E3" w:rsidRDefault="00345131" w:rsidP="00345131">
      <w:pPr>
        <w:rPr>
          <w:sz w:val="24"/>
          <w:szCs w:val="24"/>
        </w:rPr>
      </w:pPr>
    </w:p>
    <w:p w:rsidR="00345131" w:rsidRPr="005F71E3" w:rsidRDefault="00345131" w:rsidP="00345131">
      <w:pPr>
        <w:rPr>
          <w:sz w:val="24"/>
          <w:szCs w:val="24"/>
        </w:rPr>
      </w:pPr>
      <w:r w:rsidRPr="005F71E3">
        <w:rPr>
          <w:sz w:val="24"/>
          <w:szCs w:val="24"/>
        </w:rPr>
        <w:t xml:space="preserve">Table 7: Table showing agents causing closed globe injury </w:t>
      </w:r>
    </w:p>
    <w:tbl>
      <w:tblPr>
        <w:tblW w:w="9081" w:type="dxa"/>
        <w:tblCellMar>
          <w:left w:w="0" w:type="dxa"/>
          <w:right w:w="0" w:type="dxa"/>
        </w:tblCellMar>
        <w:tblLook w:val="04A0"/>
      </w:tblPr>
      <w:tblGrid>
        <w:gridCol w:w="550"/>
        <w:gridCol w:w="1511"/>
        <w:gridCol w:w="540"/>
        <w:gridCol w:w="720"/>
        <w:gridCol w:w="550"/>
        <w:gridCol w:w="1070"/>
        <w:gridCol w:w="455"/>
        <w:gridCol w:w="625"/>
        <w:gridCol w:w="550"/>
        <w:gridCol w:w="1250"/>
        <w:gridCol w:w="630"/>
        <w:gridCol w:w="630"/>
      </w:tblGrid>
      <w:tr w:rsidR="00345131" w:rsidRPr="005F71E3" w:rsidTr="00BB5E9B">
        <w:trPr>
          <w:trHeight w:val="352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b/>
                <w:bCs/>
                <w:sz w:val="20"/>
                <w:szCs w:val="20"/>
              </w:rPr>
              <w:t>S.No</w:t>
            </w:r>
            <w:r w:rsidRPr="005F7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b/>
                <w:bCs/>
                <w:sz w:val="20"/>
                <w:szCs w:val="20"/>
              </w:rPr>
              <w:t>Agent</w:t>
            </w:r>
            <w:r w:rsidRPr="005F7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b/>
                <w:bCs/>
                <w:sz w:val="20"/>
                <w:szCs w:val="20"/>
              </w:rPr>
              <w:t>No.</w:t>
            </w:r>
            <w:r w:rsidRPr="005F7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b/>
                <w:bCs/>
                <w:sz w:val="20"/>
                <w:szCs w:val="20"/>
              </w:rPr>
              <w:t>%</w:t>
            </w:r>
            <w:r w:rsidRPr="005F7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b/>
                <w:bCs/>
                <w:sz w:val="20"/>
                <w:szCs w:val="20"/>
              </w:rPr>
              <w:t>S.No</w:t>
            </w:r>
            <w:r w:rsidRPr="005F7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b/>
                <w:bCs/>
                <w:sz w:val="20"/>
                <w:szCs w:val="20"/>
              </w:rPr>
              <w:t>Agent</w:t>
            </w:r>
            <w:r w:rsidRPr="005F7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b/>
                <w:bCs/>
                <w:sz w:val="20"/>
                <w:szCs w:val="20"/>
              </w:rPr>
              <w:t>No.</w:t>
            </w:r>
            <w:r w:rsidRPr="005F7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b/>
                <w:bCs/>
                <w:sz w:val="20"/>
                <w:szCs w:val="20"/>
              </w:rPr>
              <w:t>%</w:t>
            </w:r>
            <w:r w:rsidRPr="005F7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b/>
                <w:bCs/>
                <w:sz w:val="20"/>
                <w:szCs w:val="20"/>
              </w:rPr>
              <w:t>S.No</w:t>
            </w:r>
            <w:r w:rsidRPr="005F7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b/>
                <w:bCs/>
                <w:sz w:val="20"/>
                <w:szCs w:val="20"/>
              </w:rPr>
              <w:t>Agent</w:t>
            </w:r>
            <w:r w:rsidRPr="005F7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b/>
                <w:bCs/>
                <w:sz w:val="20"/>
                <w:szCs w:val="20"/>
              </w:rPr>
              <w:t>No.</w:t>
            </w:r>
            <w:r w:rsidRPr="005F7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b/>
                <w:bCs/>
                <w:sz w:val="20"/>
                <w:szCs w:val="20"/>
              </w:rPr>
              <w:t>%</w:t>
            </w:r>
            <w:r w:rsidRPr="005F71E3">
              <w:rPr>
                <w:sz w:val="20"/>
                <w:szCs w:val="20"/>
              </w:rPr>
              <w:t xml:space="preserve"> </w:t>
            </w:r>
          </w:p>
        </w:tc>
      </w:tr>
      <w:tr w:rsidR="00345131" w:rsidRPr="005F71E3" w:rsidTr="00BB5E9B">
        <w:trPr>
          <w:trHeight w:val="55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b/>
                <w:bCs/>
                <w:sz w:val="20"/>
                <w:szCs w:val="20"/>
              </w:rPr>
              <w:t xml:space="preserve">Stick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b/>
                <w:bCs/>
                <w:sz w:val="20"/>
                <w:szCs w:val="20"/>
              </w:rPr>
              <w:t xml:space="preserve">28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b/>
                <w:bCs/>
                <w:sz w:val="20"/>
                <w:szCs w:val="20"/>
              </w:rPr>
              <w:t xml:space="preserve">16.77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Slipper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0.60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Mango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0.60 </w:t>
            </w:r>
          </w:p>
        </w:tc>
      </w:tr>
      <w:tr w:rsidR="00345131" w:rsidRPr="005F71E3" w:rsidTr="00BB5E9B">
        <w:trPr>
          <w:trHeight w:val="57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Hand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8.98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Pen/pencil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1.80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Desk edge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0.60 </w:t>
            </w:r>
          </w:p>
        </w:tc>
      </w:tr>
      <w:tr w:rsidR="00345131" w:rsidRPr="005F71E3" w:rsidTr="00BB5E9B">
        <w:trPr>
          <w:trHeight w:val="6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b/>
                <w:bCs/>
                <w:sz w:val="20"/>
                <w:szCs w:val="20"/>
              </w:rPr>
              <w:t xml:space="preserve">Stone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b/>
                <w:bCs/>
                <w:sz w:val="20"/>
                <w:szCs w:val="20"/>
              </w:rPr>
              <w:t xml:space="preserve">25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b/>
                <w:bCs/>
                <w:sz w:val="20"/>
                <w:szCs w:val="20"/>
              </w:rPr>
              <w:t xml:space="preserve">14.97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Bike/cycle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4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2.39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Elbow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0.60 </w:t>
            </w:r>
          </w:p>
        </w:tc>
      </w:tr>
      <w:tr w:rsidR="00345131" w:rsidRPr="005F71E3" w:rsidTr="00BB5E9B">
        <w:trPr>
          <w:trHeight w:val="6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Fist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7.78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Catput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0.60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Handpipe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0.60 </w:t>
            </w:r>
          </w:p>
        </w:tc>
      </w:tr>
      <w:tr w:rsidR="00345131" w:rsidRPr="005F71E3" w:rsidTr="00BB5E9B">
        <w:trPr>
          <w:trHeight w:val="48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Cricket Ball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6.59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Door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1.20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Ladder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0.60 </w:t>
            </w:r>
          </w:p>
        </w:tc>
      </w:tr>
      <w:tr w:rsidR="00345131" w:rsidRPr="005F71E3" w:rsidTr="00BB5E9B">
        <w:trPr>
          <w:trHeight w:val="48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Wood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4.19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Finger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1.20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Mud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0.60 </w:t>
            </w:r>
          </w:p>
        </w:tc>
      </w:tr>
      <w:tr w:rsidR="00345131" w:rsidRPr="005F71E3" w:rsidTr="00BB5E9B">
        <w:trPr>
          <w:trHeight w:val="6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Rope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3.59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Iron piece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1.20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Nail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0.60 </w:t>
            </w:r>
          </w:p>
        </w:tc>
      </w:tr>
      <w:tr w:rsidR="00345131" w:rsidRPr="005F71E3" w:rsidTr="00BB5E9B">
        <w:trPr>
          <w:trHeight w:val="6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Rubber tube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4.79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Stem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0.60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Plastic bottle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0.60 </w:t>
            </w:r>
          </w:p>
        </w:tc>
      </w:tr>
      <w:tr w:rsidR="00345131" w:rsidRPr="005F71E3" w:rsidTr="00BB5E9B">
        <w:trPr>
          <w:trHeight w:val="74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Animal horn/tail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4.79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Wire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0.60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>Toy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0.60 </w:t>
            </w:r>
          </w:p>
        </w:tc>
      </w:tr>
      <w:tr w:rsidR="00345131" w:rsidRPr="005F71E3" w:rsidTr="00BB5E9B">
        <w:trPr>
          <w:trHeight w:val="52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Iron rod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2.99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Bamboo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0.60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Cracker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4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2.40 </w:t>
            </w:r>
          </w:p>
        </w:tc>
      </w:tr>
      <w:tr w:rsidR="00345131" w:rsidRPr="005F71E3" w:rsidTr="00BB5E9B">
        <w:trPr>
          <w:trHeight w:val="48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Brick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4.79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Bottle lid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  <w:r w:rsidRPr="005F71E3">
              <w:rPr>
                <w:sz w:val="20"/>
                <w:szCs w:val="20"/>
              </w:rPr>
              <w:t xml:space="preserve">0.60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</w:p>
        </w:tc>
      </w:tr>
      <w:tr w:rsidR="00345131" w:rsidRPr="005F71E3" w:rsidTr="00BB5E9B">
        <w:trPr>
          <w:trHeight w:val="48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45131" w:rsidRPr="005F71E3" w:rsidRDefault="00345131" w:rsidP="00BB5E9B">
            <w:pPr>
              <w:rPr>
                <w:sz w:val="20"/>
                <w:szCs w:val="20"/>
              </w:rPr>
            </w:pPr>
          </w:p>
        </w:tc>
      </w:tr>
    </w:tbl>
    <w:p w:rsidR="00345131" w:rsidRPr="005F71E3" w:rsidRDefault="00345131" w:rsidP="00345131">
      <w:pPr>
        <w:rPr>
          <w:sz w:val="20"/>
          <w:szCs w:val="20"/>
        </w:rPr>
      </w:pPr>
    </w:p>
    <w:p w:rsidR="00345131" w:rsidRPr="005F71E3" w:rsidRDefault="00345131" w:rsidP="00345131">
      <w:pPr>
        <w:rPr>
          <w:sz w:val="24"/>
          <w:szCs w:val="24"/>
        </w:rPr>
      </w:pPr>
    </w:p>
    <w:p w:rsidR="00345131" w:rsidRPr="005F71E3" w:rsidRDefault="00345131" w:rsidP="00345131">
      <w:pPr>
        <w:rPr>
          <w:sz w:val="24"/>
          <w:szCs w:val="24"/>
        </w:rPr>
      </w:pPr>
    </w:p>
    <w:p w:rsidR="00345131" w:rsidRPr="005F71E3" w:rsidRDefault="00345131" w:rsidP="00345131">
      <w:pPr>
        <w:rPr>
          <w:sz w:val="24"/>
          <w:szCs w:val="24"/>
        </w:rPr>
      </w:pPr>
      <w:r w:rsidRPr="005F71E3">
        <w:rPr>
          <w:sz w:val="24"/>
          <w:szCs w:val="24"/>
        </w:rPr>
        <w:t>Discussion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>In our study mean a</w:t>
      </w:r>
      <w:r>
        <w:rPr>
          <w:rFonts w:ascii="Times New Roman" w:hAnsi="Times New Roman" w:cs="Times New Roman"/>
          <w:sz w:val="24"/>
          <w:szCs w:val="24"/>
        </w:rPr>
        <w:t>ge was 30.76± 16.58 yrs which was</w:t>
      </w:r>
      <w:r w:rsidRPr="005F71E3">
        <w:rPr>
          <w:rFonts w:ascii="Times New Roman" w:hAnsi="Times New Roman" w:cs="Times New Roman"/>
          <w:sz w:val="24"/>
          <w:szCs w:val="24"/>
        </w:rPr>
        <w:t xml:space="preserve"> similar to studies by Godar ST et al (28.89 ± 19.06 yrs)</w:t>
      </w:r>
      <w:r>
        <w:rPr>
          <w:rFonts w:ascii="Times New Roman" w:hAnsi="Times New Roman" w:cs="Times New Roman"/>
          <w:sz w:val="24"/>
          <w:szCs w:val="24"/>
        </w:rPr>
        <w:t xml:space="preserve"> (3) </w:t>
      </w:r>
      <w:r w:rsidRPr="005F71E3">
        <w:rPr>
          <w:rFonts w:ascii="Times New Roman" w:hAnsi="Times New Roman" w:cs="Times New Roman"/>
          <w:sz w:val="24"/>
          <w:szCs w:val="24"/>
        </w:rPr>
        <w:t>, Kinderan VY et al (28.28± 18.29 yrs)</w:t>
      </w:r>
      <w:r>
        <w:rPr>
          <w:rFonts w:ascii="Times New Roman" w:hAnsi="Times New Roman" w:cs="Times New Roman"/>
          <w:sz w:val="24"/>
          <w:szCs w:val="24"/>
        </w:rPr>
        <w:t xml:space="preserve"> (4)</w:t>
      </w:r>
      <w:r w:rsidRPr="005F71E3">
        <w:rPr>
          <w:rFonts w:ascii="Times New Roman" w:hAnsi="Times New Roman" w:cs="Times New Roman"/>
          <w:sz w:val="24"/>
          <w:szCs w:val="24"/>
        </w:rPr>
        <w:t xml:space="preserve">, Islam QU et al (27.59 ± 6.89 yrs) </w:t>
      </w: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Pr="005F71E3">
        <w:rPr>
          <w:rFonts w:ascii="Times New Roman" w:hAnsi="Times New Roman" w:cs="Times New Roman"/>
          <w:sz w:val="24"/>
          <w:szCs w:val="24"/>
        </w:rPr>
        <w:t>and Usharani et al (27 yrs)</w:t>
      </w:r>
      <w:r>
        <w:rPr>
          <w:rFonts w:ascii="Times New Roman" w:hAnsi="Times New Roman" w:cs="Times New Roman"/>
          <w:sz w:val="24"/>
          <w:szCs w:val="24"/>
        </w:rPr>
        <w:t xml:space="preserve"> (6) </w:t>
      </w:r>
      <w:r w:rsidRPr="005F71E3">
        <w:rPr>
          <w:rFonts w:ascii="Times New Roman" w:hAnsi="Times New Roman" w:cs="Times New Roman"/>
          <w:sz w:val="24"/>
          <w:szCs w:val="24"/>
        </w:rPr>
        <w:t>.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our study 17.3% belonged to </w:t>
      </w:r>
      <w:r w:rsidRPr="005F71E3">
        <w:rPr>
          <w:rFonts w:ascii="Times New Roman" w:hAnsi="Times New Roman" w:cs="Times New Roman"/>
          <w:sz w:val="24"/>
          <w:szCs w:val="24"/>
        </w:rPr>
        <w:t>paediatric age group similar to Godar et al (18.7%).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lastRenderedPageBreak/>
        <w:t xml:space="preserve">In our study males were predominant similar to studies by Godar et al, Kinderan VY et al and Usharani et al. 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>In our study left eye was more involved whereas in the study by Godar et al right eye was more involved.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>In our study accidental injury was more common whereas RTA was more seen in study by Godar e</w:t>
      </w:r>
      <w:r>
        <w:rPr>
          <w:rFonts w:ascii="Times New Roman" w:hAnsi="Times New Roman" w:cs="Times New Roman"/>
          <w:sz w:val="24"/>
          <w:szCs w:val="24"/>
        </w:rPr>
        <w:t xml:space="preserve">t al and blast injury was more </w:t>
      </w:r>
      <w:r w:rsidRPr="005F71E3">
        <w:rPr>
          <w:rFonts w:ascii="Times New Roman" w:hAnsi="Times New Roman" w:cs="Times New Roman"/>
          <w:sz w:val="24"/>
          <w:szCs w:val="24"/>
        </w:rPr>
        <w:t xml:space="preserve">common in study </w:t>
      </w:r>
      <w:r>
        <w:rPr>
          <w:rFonts w:ascii="Times New Roman" w:hAnsi="Times New Roman" w:cs="Times New Roman"/>
          <w:sz w:val="24"/>
          <w:szCs w:val="24"/>
        </w:rPr>
        <w:t>by Islam QU et al, in which study</w:t>
      </w:r>
      <w:r w:rsidRPr="005F71E3">
        <w:rPr>
          <w:rFonts w:ascii="Times New Roman" w:hAnsi="Times New Roman" w:cs="Times New Roman"/>
          <w:sz w:val="24"/>
          <w:szCs w:val="24"/>
        </w:rPr>
        <w:t xml:space="preserve"> participants were military personnels.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>In our study household injury was more common whereas workplace injury was more common in studies by Godar et al and Usharani et al.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>The commonest sequelae following closed globe injury were traumatic uveitis and conjunctival laceration in our study whereas study by Godar et al showed subconjunctival haemorrhage,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1E3">
        <w:rPr>
          <w:rFonts w:ascii="Times New Roman" w:hAnsi="Times New Roman" w:cs="Times New Roman"/>
          <w:sz w:val="24"/>
          <w:szCs w:val="24"/>
        </w:rPr>
        <w:t>Kinderan VY  et al showed lid ecchymosis, Islam QU et al sh</w:t>
      </w:r>
      <w:r>
        <w:rPr>
          <w:rFonts w:ascii="Times New Roman" w:hAnsi="Times New Roman" w:cs="Times New Roman"/>
          <w:sz w:val="24"/>
          <w:szCs w:val="24"/>
        </w:rPr>
        <w:t>owed vitreous haemorrhage and Us</w:t>
      </w:r>
      <w:r w:rsidRPr="005F71E3">
        <w:rPr>
          <w:rFonts w:ascii="Times New Roman" w:hAnsi="Times New Roman" w:cs="Times New Roman"/>
          <w:sz w:val="24"/>
          <w:szCs w:val="24"/>
        </w:rPr>
        <w:t>harani et al showed lid and lacimal system injury.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>Good visual acuity &gt;6/18 was seen in 79.64% almost similar to studies by Godar et al and KInderan VY et al. Poor vision &lt;3/60 was seen in 7.78%.</w:t>
      </w:r>
    </w:p>
    <w:p w:rsidR="00345131" w:rsidRPr="005F71E3" w:rsidRDefault="00345131" w:rsidP="00345131">
      <w:pPr>
        <w:rPr>
          <w:rFonts w:ascii="Times New Roman" w:hAnsi="Times New Roman" w:cs="Times New Roman"/>
          <w:sz w:val="24"/>
          <w:szCs w:val="24"/>
        </w:rPr>
      </w:pPr>
      <w:r w:rsidRPr="005F71E3">
        <w:rPr>
          <w:rFonts w:ascii="Times New Roman" w:hAnsi="Times New Roman" w:cs="Times New Roman"/>
          <w:sz w:val="24"/>
          <w:szCs w:val="24"/>
        </w:rPr>
        <w:t>Conclusion</w:t>
      </w:r>
    </w:p>
    <w:p w:rsidR="00345131" w:rsidRPr="005F71E3" w:rsidRDefault="00345131" w:rsidP="00345131">
      <w:pPr>
        <w:rPr>
          <w:sz w:val="24"/>
          <w:szCs w:val="24"/>
        </w:rPr>
      </w:pPr>
      <w:r w:rsidRPr="005F71E3">
        <w:rPr>
          <w:sz w:val="24"/>
          <w:szCs w:val="24"/>
        </w:rPr>
        <w:t xml:space="preserve">Closed globe injury was more common in males. Accidental injury was more common and house was the commonest site of injury. Anterior segment was more involved than the posterior segment. </w:t>
      </w:r>
    </w:p>
    <w:p w:rsidR="00345131" w:rsidRPr="005F71E3" w:rsidRDefault="00345131" w:rsidP="00345131">
      <w:pPr>
        <w:rPr>
          <w:sz w:val="24"/>
          <w:szCs w:val="24"/>
        </w:rPr>
      </w:pPr>
      <w:r w:rsidRPr="005F71E3">
        <w:rPr>
          <w:sz w:val="24"/>
          <w:szCs w:val="24"/>
        </w:rPr>
        <w:t>Even a trivial closed globe injury can have a sight threatening impact.</w:t>
      </w:r>
    </w:p>
    <w:p w:rsidR="00345131" w:rsidRPr="005F71E3" w:rsidRDefault="00345131" w:rsidP="00345131">
      <w:pPr>
        <w:rPr>
          <w:sz w:val="24"/>
          <w:szCs w:val="24"/>
        </w:rPr>
      </w:pPr>
      <w:r w:rsidRPr="005F71E3">
        <w:rPr>
          <w:sz w:val="24"/>
          <w:szCs w:val="24"/>
        </w:rPr>
        <w:t>Loss of sight can have a huge impact on the daily life, the need for medical care, income generation and the cost of rehabilitation.</w:t>
      </w:r>
    </w:p>
    <w:p w:rsidR="00345131" w:rsidRPr="005F71E3" w:rsidRDefault="00345131" w:rsidP="00345131">
      <w:pPr>
        <w:rPr>
          <w:sz w:val="24"/>
          <w:szCs w:val="24"/>
        </w:rPr>
      </w:pPr>
      <w:r w:rsidRPr="005F71E3">
        <w:rPr>
          <w:sz w:val="24"/>
          <w:szCs w:val="24"/>
        </w:rPr>
        <w:t>Community awareness on ocular trauma and preventive strategies are to be focused on the eye health education programmes.</w:t>
      </w:r>
    </w:p>
    <w:p w:rsidR="00345131" w:rsidRDefault="00345131" w:rsidP="00345131">
      <w:pPr>
        <w:rPr>
          <w:sz w:val="24"/>
          <w:szCs w:val="24"/>
        </w:rPr>
      </w:pPr>
      <w:r w:rsidRPr="005F71E3">
        <w:rPr>
          <w:sz w:val="24"/>
          <w:szCs w:val="24"/>
        </w:rPr>
        <w:t>References</w:t>
      </w:r>
    </w:p>
    <w:p w:rsidR="00345131" w:rsidRPr="00882B50" w:rsidRDefault="00345131" w:rsidP="00345131">
      <w:pPr>
        <w:pStyle w:val="ListParagraph"/>
        <w:rPr>
          <w:sz w:val="24"/>
          <w:szCs w:val="24"/>
        </w:rPr>
      </w:pPr>
      <w:r>
        <w:rPr>
          <w:iCs/>
          <w:sz w:val="24"/>
          <w:szCs w:val="24"/>
        </w:rPr>
        <w:t>1.</w:t>
      </w:r>
      <w:r w:rsidRPr="00882B50">
        <w:rPr>
          <w:iCs/>
          <w:sz w:val="24"/>
          <w:szCs w:val="24"/>
        </w:rPr>
        <w:t xml:space="preserve">Brilliant LB, Pokhrel RP, Grasset NC, et al. Epidemiology of blindness in Nepal. Bulletin of the World Health Organization 1985;63:375-86. </w:t>
      </w:r>
    </w:p>
    <w:p w:rsidR="00345131" w:rsidRDefault="00345131" w:rsidP="00345131">
      <w:pPr>
        <w:pStyle w:val="ListParagraph"/>
        <w:rPr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882B50">
        <w:rPr>
          <w:iCs/>
          <w:sz w:val="24"/>
          <w:szCs w:val="24"/>
        </w:rPr>
        <w:t>Upadhyay MP, Karmacharya P, Koirala S, et al. Bhaktapur Eye Study: Ocular trauma and antibiotic prophylaxis for the prevention of corneal ulceration in Nepal. Br J Ophthalmol 2001; 85:388-92</w:t>
      </w:r>
      <w:r w:rsidRPr="00882B50">
        <w:rPr>
          <w:sz w:val="24"/>
          <w:szCs w:val="24"/>
        </w:rPr>
        <w:t xml:space="preserve">. </w:t>
      </w:r>
    </w:p>
    <w:p w:rsidR="00345131" w:rsidRDefault="00345131" w:rsidP="0034513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882B50">
        <w:rPr>
          <w:rFonts w:ascii="Times New Roman" w:hAnsi="Times New Roman" w:cs="Times New Roman"/>
          <w:sz w:val="28"/>
        </w:rPr>
        <w:t xml:space="preserve"> </w:t>
      </w:r>
      <w:r w:rsidRPr="00882B50">
        <w:rPr>
          <w:rFonts w:ascii="Times New Roman" w:hAnsi="Times New Roman" w:cs="Times New Roman"/>
          <w:sz w:val="24"/>
          <w:szCs w:val="24"/>
        </w:rPr>
        <w:t>Godar ST, Kaini KR, Amatya P, Joshi K, Singh L.Magnitude of ocular trauma in a tertiary care hospital of western Nepal. Nepal Journal of Medical Sciences 2013;2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B50">
        <w:rPr>
          <w:rFonts w:ascii="Times New Roman" w:hAnsi="Times New Roman" w:cs="Times New Roman"/>
          <w:sz w:val="24"/>
          <w:szCs w:val="24"/>
        </w:rPr>
        <w:t>(2):140-3.</w:t>
      </w:r>
    </w:p>
    <w:p w:rsidR="00345131" w:rsidRDefault="00345131" w:rsidP="00345131">
      <w:pPr>
        <w:pStyle w:val="ListParagraph"/>
        <w:rPr>
          <w:rFonts w:ascii="Times-Italic" w:hAnsi="Times-Italic" w:cs="Times-Italic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82B50">
        <w:rPr>
          <w:rFonts w:ascii="Times-Roman" w:hAnsi="Times-Roman" w:cs="Times-Roman"/>
          <w:sz w:val="24"/>
          <w:szCs w:val="24"/>
        </w:rPr>
        <w:t>Kinderan YV, Shrestha E, Maharjan IM, Karmacharya S.</w:t>
      </w:r>
      <w:r w:rsidRPr="00882B50">
        <w:rPr>
          <w:rFonts w:ascii="Times-Bold" w:hAnsi="Times-Bold" w:cs="Times-Bold"/>
          <w:bCs/>
          <w:sz w:val="24"/>
          <w:szCs w:val="24"/>
        </w:rPr>
        <w:t xml:space="preserve"> Pattern of ocular trauma in the Western Region of Nepal.</w:t>
      </w:r>
      <w:r w:rsidRPr="00882B50">
        <w:rPr>
          <w:rFonts w:ascii="Times-Italic" w:hAnsi="Times-Italic" w:cs="Times-Italic"/>
          <w:iCs/>
          <w:sz w:val="24"/>
          <w:szCs w:val="24"/>
        </w:rPr>
        <w:t xml:space="preserve"> Nepal J Ophthalmol 2012; 4(7):5-9.</w:t>
      </w:r>
    </w:p>
    <w:p w:rsidR="00345131" w:rsidRDefault="00345131" w:rsidP="00345131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Times-Italic" w:hAnsi="Times-Italic" w:cs="Times-Italic"/>
          <w:iCs/>
          <w:sz w:val="24"/>
          <w:szCs w:val="24"/>
        </w:rPr>
        <w:t>5.</w:t>
      </w:r>
      <w:r w:rsidRPr="00882B50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882B50">
          <w:rPr>
            <w:rFonts w:ascii="Arial" w:eastAsia="Times New Roman" w:hAnsi="Arial" w:cs="Arial"/>
            <w:sz w:val="20"/>
            <w:szCs w:val="20"/>
          </w:rPr>
          <w:t>Islam QU</w:t>
        </w:r>
      </w:hyperlink>
      <w:r w:rsidRPr="00882B50">
        <w:rPr>
          <w:rFonts w:ascii="Arial" w:eastAsia="Times New Roman" w:hAnsi="Arial" w:cs="Arial"/>
          <w:sz w:val="20"/>
          <w:szCs w:val="20"/>
        </w:rPr>
        <w:t xml:space="preserve">, </w:t>
      </w:r>
      <w:hyperlink r:id="rId7" w:history="1">
        <w:r w:rsidRPr="00882B50">
          <w:rPr>
            <w:rFonts w:ascii="Arial" w:eastAsia="Times New Roman" w:hAnsi="Arial" w:cs="Arial"/>
            <w:sz w:val="20"/>
            <w:szCs w:val="20"/>
          </w:rPr>
          <w:t>Ishaq M</w:t>
        </w:r>
      </w:hyperlink>
      <w:r w:rsidRPr="00882B50">
        <w:rPr>
          <w:rFonts w:ascii="Arial" w:eastAsia="Times New Roman" w:hAnsi="Arial" w:cs="Arial"/>
          <w:sz w:val="20"/>
          <w:szCs w:val="20"/>
        </w:rPr>
        <w:t xml:space="preserve">, </w:t>
      </w:r>
      <w:hyperlink r:id="rId8" w:history="1">
        <w:r w:rsidRPr="00882B50">
          <w:rPr>
            <w:rFonts w:ascii="Arial" w:eastAsia="Times New Roman" w:hAnsi="Arial" w:cs="Arial"/>
            <w:sz w:val="20"/>
            <w:szCs w:val="20"/>
          </w:rPr>
          <w:t>Yaqub A</w:t>
        </w:r>
      </w:hyperlink>
      <w:r w:rsidRPr="00882B50">
        <w:rPr>
          <w:rFonts w:ascii="Arial" w:eastAsia="Times New Roman" w:hAnsi="Arial" w:cs="Arial"/>
          <w:sz w:val="20"/>
          <w:szCs w:val="20"/>
        </w:rPr>
        <w:t xml:space="preserve">, </w:t>
      </w:r>
      <w:hyperlink r:id="rId9" w:history="1">
        <w:r w:rsidRPr="00882B50">
          <w:rPr>
            <w:rFonts w:ascii="Arial" w:eastAsia="Times New Roman" w:hAnsi="Arial" w:cs="Arial"/>
            <w:sz w:val="20"/>
            <w:szCs w:val="20"/>
          </w:rPr>
          <w:t>Saeed MK</w:t>
        </w:r>
      </w:hyperlink>
      <w:r w:rsidRPr="00882B50">
        <w:rPr>
          <w:rFonts w:ascii="Arial" w:eastAsia="Times New Roman" w:hAnsi="Arial" w:cs="Arial"/>
          <w:sz w:val="20"/>
          <w:szCs w:val="20"/>
        </w:rPr>
        <w:t>.</w:t>
      </w:r>
      <w:r w:rsidRPr="00882B50">
        <w:rPr>
          <w:rFonts w:ascii="Arial" w:eastAsia="Times New Roman" w:hAnsi="Arial" w:cs="Arial"/>
          <w:bCs/>
          <w:kern w:val="36"/>
          <w:sz w:val="20"/>
          <w:szCs w:val="20"/>
        </w:rPr>
        <w:t xml:space="preserve"> Functional and anatomical outcome in closed globe combat ocular injuries.</w:t>
      </w:r>
      <w:r w:rsidRPr="00882B50">
        <w:rPr>
          <w:rFonts w:ascii="Arial" w:eastAsia="Times New Roman" w:hAnsi="Arial" w:cs="Arial"/>
          <w:sz w:val="20"/>
          <w:szCs w:val="20"/>
        </w:rPr>
        <w:t xml:space="preserve"> </w:t>
      </w:r>
      <w:hyperlink r:id="rId10" w:tooltip="JPMA. The Journal of the Pakistan Medical Association." w:history="1">
        <w:r w:rsidRPr="00882B50">
          <w:rPr>
            <w:rFonts w:ascii="Arial" w:eastAsia="Times New Roman" w:hAnsi="Arial" w:cs="Arial"/>
            <w:sz w:val="20"/>
            <w:szCs w:val="20"/>
          </w:rPr>
          <w:t>J Pak Med Assoc.</w:t>
        </w:r>
      </w:hyperlink>
      <w:r w:rsidRPr="00882B50">
        <w:rPr>
          <w:rFonts w:ascii="Arial" w:eastAsia="Times New Roman" w:hAnsi="Arial" w:cs="Arial"/>
          <w:sz w:val="20"/>
          <w:szCs w:val="20"/>
        </w:rPr>
        <w:t xml:space="preserve"> 2016 Dec;66(12):1582-1586.</w:t>
      </w:r>
    </w:p>
    <w:p w:rsidR="00345131" w:rsidRPr="00882B50" w:rsidRDefault="00345131" w:rsidP="00345131">
      <w:pPr>
        <w:pStyle w:val="ListParagraph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6. </w:t>
      </w:r>
      <w:r w:rsidRPr="00BC71FA">
        <w:rPr>
          <w:rFonts w:ascii="Times New Roman" w:hAnsi="Times New Roman" w:cs="Times New Roman"/>
          <w:sz w:val="24"/>
          <w:szCs w:val="24"/>
        </w:rPr>
        <w:t>Laishram U, Yumnam CM, Gahlot A, Thoudam RS, Keisham SD. Epidemiological profile of ocular trauma in a tertiary care facility in Imphal. J Med Soc 2016;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1FA">
        <w:rPr>
          <w:rFonts w:ascii="Times New Roman" w:hAnsi="Times New Roman" w:cs="Times New Roman"/>
          <w:sz w:val="24"/>
          <w:szCs w:val="24"/>
        </w:rPr>
        <w:t>30:162-5.</w:t>
      </w:r>
    </w:p>
    <w:p w:rsidR="00BA7E6D" w:rsidRDefault="00BA7E6D"/>
    <w:sectPr w:rsidR="00BA7E6D" w:rsidSect="00BA7E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AB8" w:rsidRDefault="00135AB8" w:rsidP="00995E03">
      <w:pPr>
        <w:spacing w:after="0" w:line="240" w:lineRule="auto"/>
      </w:pPr>
      <w:r>
        <w:separator/>
      </w:r>
    </w:p>
  </w:endnote>
  <w:endnote w:type="continuationSeparator" w:id="1">
    <w:p w:rsidR="00135AB8" w:rsidRDefault="00135AB8" w:rsidP="0099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03" w:rsidRDefault="00995E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03" w:rsidRDefault="00995E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03" w:rsidRDefault="00995E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AB8" w:rsidRDefault="00135AB8" w:rsidP="00995E03">
      <w:pPr>
        <w:spacing w:after="0" w:line="240" w:lineRule="auto"/>
      </w:pPr>
      <w:r>
        <w:separator/>
      </w:r>
    </w:p>
  </w:footnote>
  <w:footnote w:type="continuationSeparator" w:id="1">
    <w:p w:rsidR="00135AB8" w:rsidRDefault="00135AB8" w:rsidP="0099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03" w:rsidRDefault="00995E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03" w:rsidRPr="00995E03" w:rsidRDefault="00995E03" w:rsidP="00995E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03" w:rsidRDefault="00995E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131"/>
    <w:rsid w:val="00114746"/>
    <w:rsid w:val="00135AB8"/>
    <w:rsid w:val="00345131"/>
    <w:rsid w:val="00956DC6"/>
    <w:rsid w:val="00995E03"/>
    <w:rsid w:val="00BA7E6D"/>
    <w:rsid w:val="00E3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31"/>
    <w:pPr>
      <w:spacing w:after="200" w:line="276" w:lineRule="auto"/>
      <w:ind w:firstLine="0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AB5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AB5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AB5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AB5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AB5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AB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AB5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AB5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AB5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AB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A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AB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AB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AB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AB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AB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AB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AB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0AB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30AB5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0AB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AB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0AB5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E30AB5"/>
    <w:rPr>
      <w:b/>
      <w:bCs/>
      <w:spacing w:val="0"/>
    </w:rPr>
  </w:style>
  <w:style w:type="character" w:styleId="Emphasis">
    <w:name w:val="Emphasis"/>
    <w:uiPriority w:val="20"/>
    <w:qFormat/>
    <w:rsid w:val="00E30AB5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E30AB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30AB5"/>
  </w:style>
  <w:style w:type="paragraph" w:styleId="ListParagraph">
    <w:name w:val="List Paragraph"/>
    <w:basedOn w:val="Normal"/>
    <w:uiPriority w:val="34"/>
    <w:qFormat/>
    <w:rsid w:val="00E30A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0AB5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E30AB5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AB5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AB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E30AB5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30AB5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E30AB5"/>
    <w:rPr>
      <w:smallCaps/>
    </w:rPr>
  </w:style>
  <w:style w:type="character" w:styleId="IntenseReference">
    <w:name w:val="Intense Reference"/>
    <w:uiPriority w:val="32"/>
    <w:qFormat/>
    <w:rsid w:val="00E30AB5"/>
    <w:rPr>
      <w:b/>
      <w:bCs/>
      <w:smallCaps/>
      <w:color w:val="auto"/>
    </w:rPr>
  </w:style>
  <w:style w:type="character" w:styleId="BookTitle">
    <w:name w:val="Book Title"/>
    <w:uiPriority w:val="33"/>
    <w:qFormat/>
    <w:rsid w:val="00E30AB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0AB5"/>
    <w:pPr>
      <w:outlineLvl w:val="9"/>
    </w:pPr>
  </w:style>
  <w:style w:type="paragraph" w:customStyle="1" w:styleId="Style1">
    <w:name w:val="Style1"/>
    <w:basedOn w:val="Normal"/>
    <w:link w:val="Style1Char"/>
    <w:qFormat/>
    <w:rsid w:val="00E30AB5"/>
    <w:rPr>
      <w:i/>
    </w:rPr>
  </w:style>
  <w:style w:type="character" w:customStyle="1" w:styleId="Style1Char">
    <w:name w:val="Style1 Char"/>
    <w:basedOn w:val="DefaultParagraphFont"/>
    <w:link w:val="Style1"/>
    <w:rsid w:val="00E30AB5"/>
    <w:rPr>
      <w:i/>
    </w:rPr>
  </w:style>
  <w:style w:type="table" w:styleId="TableGrid">
    <w:name w:val="Table Grid"/>
    <w:basedOn w:val="TableNormal"/>
    <w:uiPriority w:val="59"/>
    <w:rsid w:val="00345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4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95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E03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95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5E03"/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Yaqub%20A%5BAuthor%5D&amp;cauthor=true&amp;cauthor_uid=2817969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?term=Ishaq%20M%5BAuthor%5D&amp;cauthor=true&amp;cauthor_uid=28179694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Islam%20QU%5BAuthor%5D&amp;cauthor=true&amp;cauthor_uid=2817969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ncbi.nlm.nih.gov/pubmed/2817969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cbi.nlm.nih.gov/pubmed/?term=Saeed%20MK%5BAuthor%5D&amp;cauthor=true&amp;cauthor_uid=2817969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1782</Words>
  <Characters>10162</Characters>
  <Application>Microsoft Office Word</Application>
  <DocSecurity>0</DocSecurity>
  <Lines>84</Lines>
  <Paragraphs>23</Paragraphs>
  <ScaleCrop>false</ScaleCrop>
  <Company/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2021-08-10T09:40:00Z</dcterms:created>
  <dcterms:modified xsi:type="dcterms:W3CDTF">2021-08-10T09:42:00Z</dcterms:modified>
</cp:coreProperties>
</file>