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2D4F55" w14:textId="77777777" w:rsidR="00EA3C7F" w:rsidRDefault="00EA3C7F" w:rsidP="00EA3C7F">
      <w:r>
        <w:t xml:space="preserve">Cognition and psychosocial functioning in BPAD with and without psychotic features following an acute episode: A comparative prospective study at 0, 3 and 6 months </w:t>
      </w:r>
    </w:p>
    <w:p w14:paraId="43495EB3" w14:textId="77777777" w:rsidR="00EA3C7F" w:rsidRDefault="00EA3C7F" w:rsidP="00EA3C7F"/>
    <w:p w14:paraId="70C2C560" w14:textId="77777777" w:rsidR="00EA3C7F" w:rsidRDefault="00EA3C7F" w:rsidP="00EA3C7F">
      <w:r>
        <w:t>Author /corresponding author</w:t>
      </w:r>
    </w:p>
    <w:p w14:paraId="7B1AF798" w14:textId="72C12774" w:rsidR="00EA3C7F" w:rsidRDefault="00EA3C7F" w:rsidP="00EA3C7F">
      <w:r>
        <w:t xml:space="preserve">Joan C </w:t>
      </w:r>
      <w:proofErr w:type="spellStart"/>
      <w:r>
        <w:t>Puzhakkal</w:t>
      </w:r>
      <w:proofErr w:type="spellEnd"/>
      <w:r>
        <w:t>, M.D(Psychiatry)</w:t>
      </w:r>
    </w:p>
    <w:p w14:paraId="54998F02" w14:textId="77777777" w:rsidR="00EA3C7F" w:rsidRDefault="00EA3C7F" w:rsidP="00EA3C7F">
      <w:r>
        <w:t>(Corresponding author)</w:t>
      </w:r>
    </w:p>
    <w:p w14:paraId="22102542" w14:textId="6A357C30" w:rsidR="00EA3C7F" w:rsidRDefault="00EA3C7F" w:rsidP="00EA3C7F">
      <w:r>
        <w:t xml:space="preserve">Postdoctoral fellow, </w:t>
      </w:r>
      <w:r w:rsidR="00A85CFD">
        <w:t>NIMHANS (</w:t>
      </w:r>
      <w:r>
        <w:t>National Institute of Mental Health and Neurosciences) hospital</w:t>
      </w:r>
    </w:p>
    <w:p w14:paraId="60720D2C" w14:textId="77777777" w:rsidR="00EA3C7F" w:rsidRPr="00345254" w:rsidRDefault="00EA3C7F" w:rsidP="00EA3C7F">
      <w:r w:rsidRPr="00345254">
        <w:t>Bangalore, Karnataka, India-560029</w:t>
      </w:r>
    </w:p>
    <w:p w14:paraId="127033AB" w14:textId="73C37DB1" w:rsidR="00EA3C7F" w:rsidRPr="00345254" w:rsidRDefault="00EA3C7F" w:rsidP="00EA3C7F">
      <w:r w:rsidRPr="00345254">
        <w:t xml:space="preserve">Email </w:t>
      </w:r>
      <w:r w:rsidR="00A85CFD" w:rsidRPr="00345254">
        <w:t>ID: joanpuzhakkal@gmail.com</w:t>
      </w:r>
    </w:p>
    <w:p w14:paraId="12363779" w14:textId="77777777" w:rsidR="00EA3C7F" w:rsidRDefault="00EA3C7F" w:rsidP="00EA3C7F"/>
    <w:p w14:paraId="757AE310" w14:textId="2F740D7D" w:rsidR="00EA3C7F" w:rsidRPr="00345254" w:rsidRDefault="00EA3C7F" w:rsidP="00EA3C7F">
      <w:r w:rsidRPr="00345254">
        <w:t>Co-authors</w:t>
      </w:r>
    </w:p>
    <w:p w14:paraId="0665C2A5" w14:textId="771383AD" w:rsidR="00EA3C7F" w:rsidRDefault="00EA3C7F" w:rsidP="00EA3C7F">
      <w:r w:rsidRPr="00345254">
        <w:t xml:space="preserve"> </w:t>
      </w:r>
      <w:r>
        <w:t>*</w:t>
      </w:r>
      <w:proofErr w:type="spellStart"/>
      <w:proofErr w:type="gramStart"/>
      <w:r>
        <w:t>Soumya.P.Thomas</w:t>
      </w:r>
      <w:proofErr w:type="spellEnd"/>
      <w:proofErr w:type="gramEnd"/>
      <w:r>
        <w:t xml:space="preserve">, MD(Psychiatry) </w:t>
      </w:r>
    </w:p>
    <w:p w14:paraId="08E8E1BA" w14:textId="77777777" w:rsidR="00EA3C7F" w:rsidRDefault="00EA3C7F" w:rsidP="00EA3C7F">
      <w:r>
        <w:t xml:space="preserve">Senior Resident </w:t>
      </w:r>
    </w:p>
    <w:p w14:paraId="69284F5F" w14:textId="77777777" w:rsidR="00EA3C7F" w:rsidRDefault="00EA3C7F" w:rsidP="00EA3C7F">
      <w:r>
        <w:t xml:space="preserve">Dept of Psychiatry, </w:t>
      </w:r>
      <w:proofErr w:type="spellStart"/>
      <w:r>
        <w:t>Pushpagiri</w:t>
      </w:r>
      <w:proofErr w:type="spellEnd"/>
      <w:r>
        <w:t xml:space="preserve"> Institute of Medical Sciences,</w:t>
      </w:r>
    </w:p>
    <w:p w14:paraId="4A79CF32" w14:textId="77777777" w:rsidR="00EA3C7F" w:rsidRPr="00345254" w:rsidRDefault="00EA3C7F" w:rsidP="00EA3C7F">
      <w:proofErr w:type="spellStart"/>
      <w:r w:rsidRPr="00345254">
        <w:t>Thiruvalla</w:t>
      </w:r>
      <w:proofErr w:type="spellEnd"/>
      <w:r w:rsidRPr="00345254">
        <w:t>, Kerala, India- 689101</w:t>
      </w:r>
    </w:p>
    <w:p w14:paraId="3E0E8948" w14:textId="77777777" w:rsidR="00EA3C7F" w:rsidRPr="00345254" w:rsidRDefault="00EA3C7F" w:rsidP="00EA3C7F">
      <w:r w:rsidRPr="00345254">
        <w:t>email ID: soumyasujin@rediffmail.com</w:t>
      </w:r>
    </w:p>
    <w:p w14:paraId="1E4AEA2D" w14:textId="429F07D0" w:rsidR="00EA3C7F" w:rsidRDefault="00EA3C7F" w:rsidP="00EA3C7F">
      <w:r>
        <w:t xml:space="preserve">*Roy Abraham </w:t>
      </w:r>
      <w:proofErr w:type="spellStart"/>
      <w:r>
        <w:t>Kallivayalil</w:t>
      </w:r>
      <w:proofErr w:type="spellEnd"/>
    </w:p>
    <w:p w14:paraId="3B0685F5" w14:textId="77777777" w:rsidR="00EA3C7F" w:rsidRDefault="00EA3C7F" w:rsidP="00EA3C7F">
      <w:r>
        <w:t>WASP President, WPA Secretary-General</w:t>
      </w:r>
    </w:p>
    <w:p w14:paraId="044DD808" w14:textId="77777777" w:rsidR="00EA3C7F" w:rsidRDefault="00EA3C7F" w:rsidP="00EA3C7F">
      <w:r>
        <w:t>Professor and Head,</w:t>
      </w:r>
    </w:p>
    <w:p w14:paraId="39655E15" w14:textId="77777777" w:rsidR="00EA3C7F" w:rsidRDefault="00EA3C7F" w:rsidP="00EA3C7F">
      <w:r>
        <w:t xml:space="preserve">Dept of Psychiatry, </w:t>
      </w:r>
      <w:proofErr w:type="spellStart"/>
      <w:r>
        <w:t>Pushpagiri</w:t>
      </w:r>
      <w:proofErr w:type="spellEnd"/>
      <w:r>
        <w:t xml:space="preserve"> Institute of Medical Sciences,</w:t>
      </w:r>
    </w:p>
    <w:p w14:paraId="00D727CB" w14:textId="77777777" w:rsidR="00EA3C7F" w:rsidRDefault="00EA3C7F" w:rsidP="00EA3C7F">
      <w:proofErr w:type="spellStart"/>
      <w:r>
        <w:t>Thiruvalla</w:t>
      </w:r>
      <w:proofErr w:type="spellEnd"/>
      <w:r>
        <w:t>, Kerala, India- 689101</w:t>
      </w:r>
    </w:p>
    <w:p w14:paraId="591E5A41" w14:textId="23AD6746" w:rsidR="00EA3C7F" w:rsidRDefault="00EA3C7F" w:rsidP="00EA3C7F">
      <w:proofErr w:type="spellStart"/>
      <w:r>
        <w:t>Emai</w:t>
      </w:r>
      <w:proofErr w:type="spellEnd"/>
      <w:r>
        <w:t xml:space="preserve"> </w:t>
      </w:r>
      <w:r w:rsidR="00A85CFD">
        <w:t>ID: roykalli@gmail.com</w:t>
      </w:r>
    </w:p>
    <w:p w14:paraId="7C7962B3" w14:textId="77777777" w:rsidR="00EA3C7F" w:rsidRDefault="00EA3C7F" w:rsidP="00EA3C7F"/>
    <w:p w14:paraId="57CC78B1" w14:textId="77777777" w:rsidR="00EA3C7F" w:rsidRDefault="00EA3C7F" w:rsidP="00EA3C7F"/>
    <w:p w14:paraId="5A3F0E51" w14:textId="77777777" w:rsidR="00EA3C7F" w:rsidRDefault="00EA3C7F" w:rsidP="00EA3C7F"/>
    <w:p w14:paraId="7518B77B" w14:textId="77777777" w:rsidR="00944926" w:rsidRDefault="00944926" w:rsidP="00EA3C7F"/>
    <w:p w14:paraId="40152878" w14:textId="69FB9F3C" w:rsidR="00EA3C7F" w:rsidRDefault="00EA3C7F" w:rsidP="00EA3C7F">
      <w:r>
        <w:lastRenderedPageBreak/>
        <w:t>Highlights:</w:t>
      </w:r>
    </w:p>
    <w:p w14:paraId="06BE64C8" w14:textId="77777777" w:rsidR="00EA3C7F" w:rsidRDefault="00EA3C7F" w:rsidP="00EA3C7F">
      <w:r>
        <w:t>•</w:t>
      </w:r>
      <w:r>
        <w:tab/>
        <w:t>Cognitive deficits can occur in bipolar affective disorder patients in early remission period irrespective of accompanying psychotic features.</w:t>
      </w:r>
    </w:p>
    <w:p w14:paraId="512CF052" w14:textId="77777777" w:rsidR="00EA3C7F" w:rsidRDefault="00EA3C7F" w:rsidP="00EA3C7F">
      <w:r>
        <w:t>•</w:t>
      </w:r>
      <w:r>
        <w:tab/>
        <w:t>Psychosocial functioning was poorer for BPAD with psychotic features than without.</w:t>
      </w:r>
    </w:p>
    <w:p w14:paraId="440C6550" w14:textId="77777777" w:rsidR="00EA3C7F" w:rsidRDefault="00EA3C7F" w:rsidP="00EA3C7F">
      <w:r>
        <w:t>•</w:t>
      </w:r>
      <w:r>
        <w:tab/>
        <w:t>Cognitive functioning may be correlated with the psychosocial functioning of patients with bipolar disorder.</w:t>
      </w:r>
    </w:p>
    <w:p w14:paraId="2A977AA4" w14:textId="77777777" w:rsidR="00EA3C7F" w:rsidRDefault="00EA3C7F" w:rsidP="00EA3C7F"/>
    <w:p w14:paraId="1048B17C" w14:textId="77777777" w:rsidR="00EA3C7F" w:rsidRDefault="00EA3C7F" w:rsidP="00EA3C7F"/>
    <w:p w14:paraId="56D28DD5" w14:textId="77777777" w:rsidR="00944926" w:rsidRDefault="00944926" w:rsidP="00EA3C7F"/>
    <w:p w14:paraId="73AC71B9" w14:textId="77777777" w:rsidR="00944926" w:rsidRDefault="00944926" w:rsidP="00EA3C7F"/>
    <w:p w14:paraId="746364FF" w14:textId="77777777" w:rsidR="00944926" w:rsidRDefault="00944926" w:rsidP="00EA3C7F"/>
    <w:p w14:paraId="7372E567" w14:textId="77777777" w:rsidR="00944926" w:rsidRDefault="00944926" w:rsidP="00EA3C7F"/>
    <w:p w14:paraId="7D6E05C8" w14:textId="77777777" w:rsidR="00944926" w:rsidRDefault="00944926" w:rsidP="00EA3C7F"/>
    <w:p w14:paraId="4B3F6826" w14:textId="77777777" w:rsidR="00944926" w:rsidRDefault="00944926" w:rsidP="00EA3C7F"/>
    <w:p w14:paraId="2D59E67C" w14:textId="77777777" w:rsidR="00944926" w:rsidRDefault="00944926" w:rsidP="00EA3C7F"/>
    <w:p w14:paraId="32F2B1EA" w14:textId="77777777" w:rsidR="00944926" w:rsidRDefault="00944926" w:rsidP="00EA3C7F"/>
    <w:p w14:paraId="55154B4C" w14:textId="77777777" w:rsidR="00944926" w:rsidRDefault="00944926" w:rsidP="00EA3C7F"/>
    <w:p w14:paraId="0619E493" w14:textId="77777777" w:rsidR="00944926" w:rsidRDefault="00944926" w:rsidP="00EA3C7F"/>
    <w:p w14:paraId="235D9069" w14:textId="77777777" w:rsidR="00944926" w:rsidRDefault="00944926" w:rsidP="00EA3C7F"/>
    <w:p w14:paraId="77C12583" w14:textId="77777777" w:rsidR="00944926" w:rsidRDefault="00944926" w:rsidP="00EA3C7F"/>
    <w:p w14:paraId="07CBC888" w14:textId="77777777" w:rsidR="00944926" w:rsidRDefault="00944926" w:rsidP="00EA3C7F"/>
    <w:p w14:paraId="28FE19D6" w14:textId="77777777" w:rsidR="00944926" w:rsidRDefault="00944926" w:rsidP="00EA3C7F"/>
    <w:p w14:paraId="10B82F0F" w14:textId="77777777" w:rsidR="00944926" w:rsidRDefault="00944926" w:rsidP="00EA3C7F"/>
    <w:p w14:paraId="5552B5D4" w14:textId="77777777" w:rsidR="00944926" w:rsidRDefault="00944926" w:rsidP="00EA3C7F"/>
    <w:p w14:paraId="31EC8BCB" w14:textId="77777777" w:rsidR="00944926" w:rsidRDefault="00944926" w:rsidP="00EA3C7F"/>
    <w:p w14:paraId="6E2FBA28" w14:textId="77777777" w:rsidR="00944926" w:rsidRDefault="00944926" w:rsidP="00EA3C7F"/>
    <w:p w14:paraId="4FCD9599" w14:textId="5ABBB586" w:rsidR="00EA3C7F" w:rsidRDefault="00EA3C7F" w:rsidP="00EA3C7F">
      <w:r>
        <w:lastRenderedPageBreak/>
        <w:t>Abstract:</w:t>
      </w:r>
    </w:p>
    <w:p w14:paraId="1CF0E73A" w14:textId="77777777" w:rsidR="00EA3C7F" w:rsidRDefault="00EA3C7F" w:rsidP="00EA3C7F">
      <w:r>
        <w:t>Background &amp; Objectives</w:t>
      </w:r>
    </w:p>
    <w:p w14:paraId="60E34AF9" w14:textId="5981ED0E" w:rsidR="00EA3C7F" w:rsidRDefault="00EA3C7F" w:rsidP="00EA3C7F">
      <w:r>
        <w:t xml:space="preserve">Patients with BPAD (Bipolar Affective Disorder) display cognitive impairments during early remission, which appears to adversely impact their overall functioning. Limited research exists regarding how psychotic features affects cognition and psychosocial functioning in BPAD. This knowledge has therapeutic implications. This study was undertaken to compare cognitive and psychosocial functioning in BPAD patients with a history of psychotic features versus BPAD patients without psychotic features </w:t>
      </w:r>
      <w:r w:rsidR="00A85CFD">
        <w:t>and</w:t>
      </w:r>
      <w:r>
        <w:t xml:space="preserve"> to correlate psychosocial functioning with cognitive impairment.</w:t>
      </w:r>
    </w:p>
    <w:p w14:paraId="0AC0276C" w14:textId="77777777" w:rsidR="00EA3C7F" w:rsidRDefault="00EA3C7F" w:rsidP="00EA3C7F">
      <w:r>
        <w:t>Methods</w:t>
      </w:r>
    </w:p>
    <w:p w14:paraId="08B52278" w14:textId="77777777" w:rsidR="00EA3C7F" w:rsidRDefault="00EA3C7F" w:rsidP="00EA3C7F">
      <w:r>
        <w:t xml:space="preserve">The study was conducted at </w:t>
      </w:r>
      <w:proofErr w:type="spellStart"/>
      <w:r>
        <w:t>Pushpagiri</w:t>
      </w:r>
      <w:proofErr w:type="spellEnd"/>
      <w:r>
        <w:t xml:space="preserve"> Institute of Medical Sciences, a post-graduate teaching hospital in Central Kerala, India. Inpatients in the psychiatry ward who met DSM5 diagnostic criteria for BPAD were recruited by consecutive sampling. A total of 80 patients (40 in each group) were taken for the study. Neuropsychological testing was performed 24 to 48 hours before discharge, and Global Assessment of Functioning (GAF) scores were obtained during the initial assessment. Follow-up evaluation was done at 3 months and 6 months.</w:t>
      </w:r>
    </w:p>
    <w:p w14:paraId="27F80CF8" w14:textId="77777777" w:rsidR="00EA3C7F" w:rsidRDefault="00EA3C7F" w:rsidP="00EA3C7F">
      <w:r>
        <w:t>Results</w:t>
      </w:r>
    </w:p>
    <w:p w14:paraId="7216427C" w14:textId="2C9D6EE7" w:rsidR="00EA3C7F" w:rsidRDefault="00EA3C7F" w:rsidP="00EA3C7F">
      <w:proofErr w:type="gramStart"/>
      <w:r>
        <w:t>The majority of</w:t>
      </w:r>
      <w:proofErr w:type="gramEnd"/>
      <w:r>
        <w:t xml:space="preserve"> participants had completed middle </w:t>
      </w:r>
      <w:r w:rsidR="00A85CFD">
        <w:t>school and</w:t>
      </w:r>
      <w:r>
        <w:t xml:space="preserve"> were from rural areas. The groups were comparable in terms of duration of illness and number of previous hospitalizations. Patients with psychotic features had worse GAF scores than those without psychotic features at the time of discharge and 6 months follow-up. GAF scores improved with improvement in mood symptoms in both groups. Attention (assessed through the digit vigilance test) was poor for the group with psychotic features at the time of discharge and follow-ups, whereas executive functioning (indexed through the COWAT-FAS test) was found to be improved for the group with psychotic features during follow-ups. Trail making test –B and COWAT-FAS tests, which are measures of executive function, correlated positively and significantly with psychosocial functioning.</w:t>
      </w:r>
    </w:p>
    <w:p w14:paraId="5B017852" w14:textId="77777777" w:rsidR="00EA3C7F" w:rsidRDefault="00EA3C7F" w:rsidP="00EA3C7F">
      <w:r>
        <w:t>Conclusion</w:t>
      </w:r>
    </w:p>
    <w:p w14:paraId="6271C392" w14:textId="77777777" w:rsidR="00EA3C7F" w:rsidRDefault="00EA3C7F" w:rsidP="00EA3C7F">
      <w:r>
        <w:t xml:space="preserve">In our study, psychosocial functioning and attention was lower for BPAD patients with psychotic features, whereas BPAD patients without psychotic features had lower executive functioning. Moreover, the study could not confirm that cognitive impairment could lead to poor psychosocial functioning among patients. </w:t>
      </w:r>
    </w:p>
    <w:p w14:paraId="41689374" w14:textId="77777777" w:rsidR="00EA3C7F" w:rsidRDefault="00EA3C7F" w:rsidP="00EA3C7F">
      <w:r>
        <w:t>Keywords</w:t>
      </w:r>
    </w:p>
    <w:p w14:paraId="63ED93B1" w14:textId="77777777" w:rsidR="00EA3C7F" w:rsidRDefault="00EA3C7F" w:rsidP="00EA3C7F">
      <w:r>
        <w:t>Psychotic features; cognition; psychosocial functioning; bipolar disorder</w:t>
      </w:r>
    </w:p>
    <w:p w14:paraId="2C47E33D" w14:textId="77777777" w:rsidR="00EA3C7F" w:rsidRDefault="00EA3C7F" w:rsidP="00EA3C7F"/>
    <w:p w14:paraId="462449C6" w14:textId="77777777" w:rsidR="00944926" w:rsidRDefault="00944926" w:rsidP="00EA3C7F"/>
    <w:p w14:paraId="1E51C366" w14:textId="380580A0" w:rsidR="00EA3C7F" w:rsidRPr="00E62120" w:rsidRDefault="00EA3C7F" w:rsidP="00EA3C7F">
      <w:pPr>
        <w:rPr>
          <w:b/>
          <w:bCs/>
        </w:rPr>
      </w:pPr>
      <w:r w:rsidRPr="00E62120">
        <w:rPr>
          <w:b/>
          <w:bCs/>
        </w:rPr>
        <w:lastRenderedPageBreak/>
        <w:t>1.Introduction</w:t>
      </w:r>
    </w:p>
    <w:p w14:paraId="41C1F46D" w14:textId="77777777" w:rsidR="00EA3C7F" w:rsidRDefault="00EA3C7F" w:rsidP="00EA3C7F"/>
    <w:p w14:paraId="48CAC14E" w14:textId="2778F817" w:rsidR="00EA3C7F" w:rsidRDefault="00EA3C7F" w:rsidP="00EA3C7F">
      <w:r>
        <w:t xml:space="preserve">Cognition refers to the processing of specific information which includes thinking, memory, perception, motivation, skilled movements, and </w:t>
      </w:r>
      <w:r w:rsidR="00A85CFD">
        <w:t>language (</w:t>
      </w:r>
      <w:r>
        <w:t xml:space="preserve">Levy et al., 2013). Neurocognitive investigations during the early remission of BPAD have shown persistent cognitive deficits in about 32% of </w:t>
      </w:r>
      <w:r w:rsidR="00A85CFD">
        <w:t>patients (</w:t>
      </w:r>
      <w:r>
        <w:t xml:space="preserve">Padmavati &amp; Taj, 2005). Patients with BPAD display cognitive impairments, which can adversely affect their overall </w:t>
      </w:r>
      <w:r w:rsidR="00A85CFD">
        <w:t>functioning (</w:t>
      </w:r>
      <w:proofErr w:type="spellStart"/>
      <w:r>
        <w:t>Pattanayak</w:t>
      </w:r>
      <w:proofErr w:type="spellEnd"/>
      <w:r>
        <w:t xml:space="preserve"> et al., 2012).</w:t>
      </w:r>
    </w:p>
    <w:p w14:paraId="2566A0A8" w14:textId="77777777" w:rsidR="00EA3C7F" w:rsidRDefault="00EA3C7F" w:rsidP="00EA3C7F"/>
    <w:p w14:paraId="6D2E2645" w14:textId="5A435C33" w:rsidR="00EA3C7F" w:rsidRDefault="00EA3C7F" w:rsidP="00EA3C7F">
      <w:r>
        <w:t xml:space="preserve">Studies confirming that significant cognitive deficits identified for attention, processing speed, memory, and executive functioning are present in the acute phase of BPAD, and such deficits can persist during remission, </w:t>
      </w:r>
      <w:r w:rsidR="00A85CFD">
        <w:t>also (</w:t>
      </w:r>
      <w:r>
        <w:t xml:space="preserve">Martinez-Aran et al., </w:t>
      </w:r>
      <w:r w:rsidR="00A85CFD">
        <w:t>2008) (</w:t>
      </w:r>
      <w:r>
        <w:t xml:space="preserve">Clark et al., 2002). A study reported that verbal memory was more impaired in BPAD patients with psychotic features than in those without (Martinez-Aran et al., 2008). In another study, BPAD patients admitted with psychotic features had significantly poorer performance on the </w:t>
      </w:r>
      <w:r w:rsidR="00A85CFD">
        <w:t>CVLT (</w:t>
      </w:r>
      <w:r>
        <w:t xml:space="preserve">California Verbal Learning Test), logical memory subtest of Wechsler Memory Scale-Revised, Stroop test, and the </w:t>
      </w:r>
      <w:r w:rsidR="00A85CFD">
        <w:t>WCST (</w:t>
      </w:r>
      <w:r>
        <w:t xml:space="preserve">Wisconsin Card Sorting Test) than those without psychotic </w:t>
      </w:r>
      <w:r w:rsidR="00A85CFD">
        <w:t>features (</w:t>
      </w:r>
      <w:r>
        <w:t>Levy &amp; Weiss, 2010).</w:t>
      </w:r>
    </w:p>
    <w:p w14:paraId="1E7F0BB8" w14:textId="77777777" w:rsidR="00EA3C7F" w:rsidRDefault="00EA3C7F" w:rsidP="00EA3C7F"/>
    <w:p w14:paraId="0AF165FE" w14:textId="3B697758" w:rsidR="00EA3C7F" w:rsidRDefault="00EA3C7F" w:rsidP="00EA3C7F">
      <w:r>
        <w:t xml:space="preserve">The prognosis for BPAD was once considered relatively favorable, but contemporary findings suggest that disability and poor outcomes are prevalent despite major therapeutic advances. Ineffectively treated BPAD adds to the healthcare burden and contributes to high </w:t>
      </w:r>
      <w:r w:rsidR="00A85CFD">
        <w:t>DALY (</w:t>
      </w:r>
      <w:r>
        <w:t xml:space="preserve">Disability Adjusted Life </w:t>
      </w:r>
      <w:proofErr w:type="gramStart"/>
      <w:r>
        <w:t>Years)(</w:t>
      </w:r>
      <w:proofErr w:type="gramEnd"/>
      <w:r>
        <w:t>Sadock, 2009). Research also indicates that individuals living with BPAD experience significantly higher levels of unemployment compared with both the general population and those with unipolar depression. In a study involving 3681 patients with acute mania, only 11% of patients showed no work impairment (</w:t>
      </w:r>
      <w:proofErr w:type="spellStart"/>
      <w:r>
        <w:t>Latalova</w:t>
      </w:r>
      <w:proofErr w:type="spellEnd"/>
      <w:r>
        <w:t xml:space="preserve"> et al., 2011). It has also been observed that over time, people with BPAD who remain employed move to less demanding work </w:t>
      </w:r>
      <w:r w:rsidR="00A85CFD">
        <w:t>roles (</w:t>
      </w:r>
      <w:r>
        <w:t>Duarte et al., 2016). Measures of functional outcomes provide a more reliable indicator of response to treatment in BPAD than clinical measures such as a reduction in symptoms. Impairment in psychosocial functioning is a defining feature of BPAD and has been widely reported in the literature, even during periods of remission</w:t>
      </w:r>
      <w:r w:rsidRPr="008C5935">
        <w:t xml:space="preserve"> </w:t>
      </w:r>
      <w:r>
        <w:t>(Levy &amp; Weiss, 2010).</w:t>
      </w:r>
    </w:p>
    <w:p w14:paraId="69E27413" w14:textId="77777777" w:rsidR="00EA3C7F" w:rsidRDefault="00EA3C7F" w:rsidP="00EA3C7F"/>
    <w:p w14:paraId="2F8BDC96" w14:textId="68EF284C" w:rsidR="00EA3C7F" w:rsidRDefault="00EA3C7F" w:rsidP="00EA3C7F">
      <w:r>
        <w:t xml:space="preserve">Cognitive impairment is one of the strongest predictors of psychosocial disability in </w:t>
      </w:r>
      <w:bookmarkStart w:id="0" w:name="_Hlk69466194"/>
      <w:r w:rsidR="00A85CFD">
        <w:t>BPAD (</w:t>
      </w:r>
      <w:r>
        <w:t>Levy &amp; Weiss, 2010)</w:t>
      </w:r>
      <w:bookmarkEnd w:id="0"/>
      <w:r>
        <w:t xml:space="preserve">. Functional outcomes can be predicted by cognitive impairments in the domains of verbal memory, attention, processing speed, and executive functions. The number of episodes, psychotic features, and medication can affect cognitive </w:t>
      </w:r>
      <w:r w:rsidR="00A85CFD">
        <w:t>domains (</w:t>
      </w:r>
      <w:r>
        <w:t xml:space="preserve">Martinez-Aran et al., 2008). Studies have shown that there is a significant difference in the cognitive and psychosocial functioning of BPAD patients with and without psychotic features, but the presence of psychotic features is often overlooked in the clinical setting. Therefore, our study aims to examine the sociodemographic, psychosocial and cognitive </w:t>
      </w:r>
      <w:r>
        <w:lastRenderedPageBreak/>
        <w:t xml:space="preserve">functioning profile of patients with BPAD who presented to our hospital during an episode of mood </w:t>
      </w:r>
      <w:r w:rsidR="00A85CFD">
        <w:t>disturbance, to</w:t>
      </w:r>
      <w:r>
        <w:t xml:space="preserve"> correlate between it, and their status 3 months and 6 months later. </w:t>
      </w:r>
    </w:p>
    <w:p w14:paraId="239A3E9C" w14:textId="77777777" w:rsidR="00EA3C7F" w:rsidRDefault="00EA3C7F" w:rsidP="00EA3C7F"/>
    <w:p w14:paraId="6F60B186" w14:textId="77777777" w:rsidR="00EA3C7F" w:rsidRDefault="00EA3C7F" w:rsidP="00EA3C7F"/>
    <w:p w14:paraId="6B874D20" w14:textId="77777777" w:rsidR="00EA3C7F" w:rsidRPr="00E62120" w:rsidRDefault="00EA3C7F" w:rsidP="00EA3C7F">
      <w:pPr>
        <w:rPr>
          <w:b/>
          <w:bCs/>
        </w:rPr>
      </w:pPr>
      <w:r w:rsidRPr="00E62120">
        <w:rPr>
          <w:b/>
          <w:bCs/>
        </w:rPr>
        <w:t>2. Methods and materials</w:t>
      </w:r>
    </w:p>
    <w:p w14:paraId="40A6B0BF" w14:textId="604F0EAE" w:rsidR="00EA3C7F" w:rsidRDefault="00EA3C7F" w:rsidP="00EA3C7F">
      <w:r>
        <w:t xml:space="preserve">The study followed a prospective cohort </w:t>
      </w:r>
      <w:r w:rsidR="00A85CFD">
        <w:t>design with</w:t>
      </w:r>
      <w:r>
        <w:t xml:space="preserve"> follow-up at 3 and 6 months after receiving ethical committee approval. The participants were BPAD patients (who met the DSM 5 criteria) admitted to the Department of Psychiatry, </w:t>
      </w:r>
      <w:proofErr w:type="spellStart"/>
      <w:r>
        <w:t>Pushpagiri</w:t>
      </w:r>
      <w:proofErr w:type="spellEnd"/>
      <w:r>
        <w:t xml:space="preserve"> Institute of Medical Sciences (PIMS), </w:t>
      </w:r>
      <w:proofErr w:type="spellStart"/>
      <w:r>
        <w:t>Thiruvalla</w:t>
      </w:r>
      <w:proofErr w:type="spellEnd"/>
      <w:r>
        <w:t xml:space="preserve"> following an acute episode. Consecutive sampling was applied and those patients satisfying inclusion criteria were recruited following informed consent.</w:t>
      </w:r>
    </w:p>
    <w:p w14:paraId="55D76D6C" w14:textId="77777777" w:rsidR="00EA3C7F" w:rsidRDefault="00EA3C7F" w:rsidP="00EA3C7F"/>
    <w:p w14:paraId="448DA080" w14:textId="77777777" w:rsidR="00EA3C7F" w:rsidRDefault="00EA3C7F" w:rsidP="00EA3C7F">
      <w:r>
        <w:t>2.1. Inclusion criteria</w:t>
      </w:r>
    </w:p>
    <w:p w14:paraId="0853274B" w14:textId="77777777" w:rsidR="00EA3C7F" w:rsidRDefault="00EA3C7F" w:rsidP="00EA3C7F"/>
    <w:p w14:paraId="79172516" w14:textId="77777777" w:rsidR="00EA3C7F" w:rsidRDefault="00EA3C7F" w:rsidP="00EA3C7F">
      <w:r>
        <w:t>•</w:t>
      </w:r>
      <w:r>
        <w:tab/>
        <w:t>Between 18-65 years of age</w:t>
      </w:r>
    </w:p>
    <w:p w14:paraId="07F6A9B8" w14:textId="77777777" w:rsidR="00EA3C7F" w:rsidRDefault="00EA3C7F" w:rsidP="00EA3C7F">
      <w:r>
        <w:t>•</w:t>
      </w:r>
      <w:r>
        <w:tab/>
        <w:t>Consent to participate in the study</w:t>
      </w:r>
    </w:p>
    <w:p w14:paraId="1CD99A8A" w14:textId="77777777" w:rsidR="00EA3C7F" w:rsidRDefault="00EA3C7F" w:rsidP="00EA3C7F">
      <w:r>
        <w:t>•</w:t>
      </w:r>
      <w:r>
        <w:tab/>
        <w:t>Beck Depression Inventory (BDI) score &lt; 15, and Young Mania Rating Scale (YMRS) score &lt; 15</w:t>
      </w:r>
    </w:p>
    <w:p w14:paraId="630A576E" w14:textId="77777777" w:rsidR="00EA3C7F" w:rsidRDefault="00EA3C7F" w:rsidP="00EA3C7F"/>
    <w:p w14:paraId="1EC8F2C0" w14:textId="77777777" w:rsidR="00EA3C7F" w:rsidRDefault="00EA3C7F" w:rsidP="00EA3C7F">
      <w:r>
        <w:t>2.2. Exclusion criteria</w:t>
      </w:r>
    </w:p>
    <w:p w14:paraId="1E1576C9" w14:textId="77777777" w:rsidR="00EA3C7F" w:rsidRDefault="00EA3C7F" w:rsidP="00EA3C7F"/>
    <w:p w14:paraId="387AB7FD" w14:textId="77777777" w:rsidR="00EA3C7F" w:rsidRDefault="00EA3C7F" w:rsidP="00EA3C7F">
      <w:r>
        <w:t>•</w:t>
      </w:r>
      <w:r>
        <w:tab/>
        <w:t>presence or history of organic brain disease or mental retardation</w:t>
      </w:r>
    </w:p>
    <w:p w14:paraId="56F13CE0" w14:textId="77777777" w:rsidR="00EA3C7F" w:rsidRDefault="00EA3C7F" w:rsidP="00EA3C7F">
      <w:r>
        <w:t>•</w:t>
      </w:r>
      <w:r>
        <w:tab/>
        <w:t>episodes after first assessment at the discharge period</w:t>
      </w:r>
    </w:p>
    <w:p w14:paraId="7FB940A7" w14:textId="77777777" w:rsidR="00EA3C7F" w:rsidRDefault="00EA3C7F" w:rsidP="00EA3C7F">
      <w:r>
        <w:t>•</w:t>
      </w:r>
      <w:r>
        <w:tab/>
        <w:t>more than 3 episodes of BPAD</w:t>
      </w:r>
    </w:p>
    <w:p w14:paraId="00F23A5D" w14:textId="77777777" w:rsidR="00EA3C7F" w:rsidRDefault="00EA3C7F" w:rsidP="00EA3C7F">
      <w:r>
        <w:t>•</w:t>
      </w:r>
      <w:r>
        <w:tab/>
        <w:t>substance use disorders</w:t>
      </w:r>
    </w:p>
    <w:p w14:paraId="67B5A047" w14:textId="77777777" w:rsidR="00EA3C7F" w:rsidRDefault="00EA3C7F" w:rsidP="00EA3C7F"/>
    <w:p w14:paraId="3DD2C139" w14:textId="77777777" w:rsidR="00EA3C7F" w:rsidRDefault="00EA3C7F" w:rsidP="00EA3C7F">
      <w:r>
        <w:t>2.3. Study procedure</w:t>
      </w:r>
    </w:p>
    <w:p w14:paraId="594B8F8E" w14:textId="77777777" w:rsidR="00EA3C7F" w:rsidRDefault="00EA3C7F" w:rsidP="00EA3C7F"/>
    <w:p w14:paraId="42CF3159" w14:textId="383E2714" w:rsidR="00EA3C7F" w:rsidRDefault="00EA3C7F" w:rsidP="00EA3C7F">
      <w:r>
        <w:t xml:space="preserve">DSM5 criteria were used for diagnosing BPAD. Psychotic features were defined by the presence of either delusions or hallucinations over the course of the hospital </w:t>
      </w:r>
      <w:r w:rsidR="00A85CFD">
        <w:t>stay (</w:t>
      </w:r>
      <w:r>
        <w:t xml:space="preserve">Levy et al., 2013). When patients were </w:t>
      </w:r>
      <w:r>
        <w:lastRenderedPageBreak/>
        <w:t>sufficiently stable, neuropsychological testing was scheduled 24 to 48 hours before discharge and Global Assessment of Functioning (GAF) scores were obtained. The session typically ranged from two and a half to three and a half hours. After 3 months and 6 months, a follow-up evaluation was done, wherein mood and neurocognitive measures were re-administered, along with GAF scores.</w:t>
      </w:r>
    </w:p>
    <w:p w14:paraId="21A4F95A" w14:textId="77777777" w:rsidR="00EA3C7F" w:rsidRDefault="00EA3C7F" w:rsidP="00EA3C7F"/>
    <w:p w14:paraId="50FEB940" w14:textId="77777777" w:rsidR="00EA3C7F" w:rsidRDefault="00EA3C7F" w:rsidP="00EA3C7F">
      <w:r>
        <w:t xml:space="preserve">2.4. Tools </w:t>
      </w:r>
    </w:p>
    <w:p w14:paraId="5715B7FF" w14:textId="77777777" w:rsidR="00EA3C7F" w:rsidRDefault="00EA3C7F" w:rsidP="00EA3C7F"/>
    <w:p w14:paraId="7740931E" w14:textId="77777777" w:rsidR="00EA3C7F" w:rsidRDefault="00EA3C7F" w:rsidP="00EA3C7F">
      <w:r>
        <w:t>2.4.1. Semi-structured Proforma:</w:t>
      </w:r>
    </w:p>
    <w:p w14:paraId="0358CBCE" w14:textId="77777777" w:rsidR="00EA3C7F" w:rsidRDefault="00EA3C7F" w:rsidP="00EA3C7F"/>
    <w:p w14:paraId="008F5284" w14:textId="77777777" w:rsidR="00EA3C7F" w:rsidRDefault="00EA3C7F" w:rsidP="00EA3C7F">
      <w:r>
        <w:t>It contained Socio-Demographic details and clinical profile which included age at onset of illness, total duration of illness, number of episodes or hospitalizations, total duration of illness, treatment history, family history of BPAD, and the presence or absence of psychotic features.</w:t>
      </w:r>
    </w:p>
    <w:p w14:paraId="155D39AB" w14:textId="77777777" w:rsidR="00EA3C7F" w:rsidRDefault="00EA3C7F" w:rsidP="00EA3C7F"/>
    <w:p w14:paraId="347A12F0" w14:textId="77777777" w:rsidR="00EA3C7F" w:rsidRDefault="00EA3C7F" w:rsidP="00EA3C7F">
      <w:r>
        <w:t>2.4.2. Mood measures</w:t>
      </w:r>
    </w:p>
    <w:p w14:paraId="4A3560E8" w14:textId="77777777" w:rsidR="00EA3C7F" w:rsidRDefault="00EA3C7F" w:rsidP="00EA3C7F"/>
    <w:p w14:paraId="7CD3930F" w14:textId="77777777" w:rsidR="00EA3C7F" w:rsidRDefault="00EA3C7F" w:rsidP="00EA3C7F">
      <w:r>
        <w:t>Manic symptom severity was assessed with the Young Mania Rating Scale, an 11-item scale widely used in clinical and research settings to determine the severity of mania.</w:t>
      </w:r>
    </w:p>
    <w:p w14:paraId="5BBDA8D3" w14:textId="77777777" w:rsidR="00EA3C7F" w:rsidRDefault="00EA3C7F" w:rsidP="00EA3C7F">
      <w:r>
        <w:t>The Beck Depression Inventory – Second Edition (BDI-II) was used to assess residual depressive symptoms at the time of testing. This 21-item self-report instrument measures the severity of depressive symptoms.</w:t>
      </w:r>
    </w:p>
    <w:p w14:paraId="16028298" w14:textId="77777777" w:rsidR="00EA3C7F" w:rsidRDefault="00EA3C7F" w:rsidP="00EA3C7F"/>
    <w:p w14:paraId="7958AFD2" w14:textId="77777777" w:rsidR="00EA3C7F" w:rsidRDefault="00EA3C7F" w:rsidP="00EA3C7F">
      <w:r>
        <w:t>2.4.3. Psychosocial functioning:</w:t>
      </w:r>
    </w:p>
    <w:p w14:paraId="5A5E0ABE" w14:textId="77777777" w:rsidR="00EA3C7F" w:rsidRDefault="00EA3C7F" w:rsidP="00EA3C7F"/>
    <w:p w14:paraId="64CEF3D0" w14:textId="77777777" w:rsidR="00EA3C7F" w:rsidRDefault="00EA3C7F" w:rsidP="00EA3C7F">
      <w:r>
        <w:t xml:space="preserve"> Psychosocial functioning was assessed using the GAF scale which is scored from 0 to100. Higher scores reflect better functioning.</w:t>
      </w:r>
    </w:p>
    <w:p w14:paraId="726C55C4" w14:textId="77777777" w:rsidR="00EA3C7F" w:rsidRDefault="00EA3C7F" w:rsidP="00EA3C7F"/>
    <w:p w14:paraId="41232CED" w14:textId="77777777" w:rsidR="00EA3C7F" w:rsidRDefault="00EA3C7F" w:rsidP="00EA3C7F">
      <w:r>
        <w:t>2.4.4. The neuropsychological battery</w:t>
      </w:r>
    </w:p>
    <w:p w14:paraId="7D7F4926" w14:textId="77777777" w:rsidR="00EA3C7F" w:rsidRDefault="00EA3C7F" w:rsidP="00EA3C7F"/>
    <w:p w14:paraId="17263AD5" w14:textId="69ED5B1A" w:rsidR="00EA3C7F" w:rsidRDefault="00944926" w:rsidP="00EA3C7F">
      <w:r>
        <w:lastRenderedPageBreak/>
        <w:t>NIMHANS (</w:t>
      </w:r>
      <w:r w:rsidR="00EA3C7F">
        <w:t>National Institute of Mental Health and Neurosciences) and Halstead-</w:t>
      </w:r>
      <w:proofErr w:type="spellStart"/>
      <w:r w:rsidR="00EA3C7F">
        <w:t>Reitan</w:t>
      </w:r>
      <w:proofErr w:type="spellEnd"/>
      <w:r w:rsidR="00EA3C7F">
        <w:t xml:space="preserve"> neuropsychological battery was used for assessing cognitive functioning.</w:t>
      </w:r>
    </w:p>
    <w:p w14:paraId="30ABB2F4" w14:textId="77777777" w:rsidR="00EA3C7F" w:rsidRDefault="00EA3C7F" w:rsidP="00EA3C7F">
      <w:r>
        <w:t>Six total tests were administered across four domains:  attention, visuomotor speed, executive function, short-term learning and memory.</w:t>
      </w:r>
    </w:p>
    <w:p w14:paraId="45FD0F9C" w14:textId="370C4E72" w:rsidR="00EA3C7F" w:rsidRDefault="00EA3C7F" w:rsidP="00EA3C7F">
      <w:r>
        <w:t>1.</w:t>
      </w:r>
      <w:r>
        <w:tab/>
        <w:t>Digit symbol substitution test for visuomotor speed. It consists of digit-symbol pairs followed by a list of digits (</w:t>
      </w:r>
      <w:r w:rsidR="00944926">
        <w:t>e.g.,</w:t>
      </w:r>
      <w:r>
        <w:t xml:space="preserve"> 1/-,2/</w:t>
      </w:r>
      <w:r>
        <w:rPr>
          <w:rFonts w:ascii="Arial" w:hAnsi="Arial" w:cs="Arial"/>
        </w:rPr>
        <w:t>┴</w:t>
      </w:r>
      <w:r>
        <w:t xml:space="preserve"> ... 7/</w:t>
      </w:r>
      <w:r>
        <w:rPr>
          <w:rFonts w:ascii="Calibri" w:hAnsi="Calibri" w:cs="Calibri"/>
        </w:rPr>
        <w:t>Λ</w:t>
      </w:r>
      <w:r>
        <w:t>,8/X,9/=). Under each digit, the subject should write down the corresponding symbol as fast as possible. The performance time is noted in seconds.</w:t>
      </w:r>
    </w:p>
    <w:p w14:paraId="184CACC4" w14:textId="77777777" w:rsidR="00EA3C7F" w:rsidRDefault="00EA3C7F" w:rsidP="00EA3C7F">
      <w:r>
        <w:t>2.</w:t>
      </w:r>
      <w:r>
        <w:tab/>
        <w:t>Digit vigilance test-for attention. On this task, participants use a pencil to cross out numbers 6 and 9, scattered amid distracters, as quickly as they can. The time it takes to complete the task is noted in seconds.</w:t>
      </w:r>
    </w:p>
    <w:p w14:paraId="508C8D8E" w14:textId="77777777" w:rsidR="00EA3C7F" w:rsidRDefault="00EA3C7F" w:rsidP="00EA3C7F">
      <w:r>
        <w:t>3.</w:t>
      </w:r>
      <w:r>
        <w:tab/>
        <w:t>Trail-making test A and B for attention, visuomotor speed. The Trail Making Test Part A task requires participants to draw a line connecting consecutive numbers scattered on a page as fast as possible. The time to completion is noted in seconds.</w:t>
      </w:r>
    </w:p>
    <w:p w14:paraId="3B1F5CD3" w14:textId="01E31BC9" w:rsidR="00EA3C7F" w:rsidRDefault="00EA3C7F" w:rsidP="00EA3C7F">
      <w:r>
        <w:t>4.</w:t>
      </w:r>
      <w:r>
        <w:tab/>
        <w:t>Trail-making test B for executive functioning. The Trail Making Part B task requires participants to draw a line as quickly as possible connecting letters and numbers scattered in circles on a page in an alternating and ascending sequence (</w:t>
      </w:r>
      <w:r w:rsidR="00944926">
        <w:t>i.e.,</w:t>
      </w:r>
      <w:r>
        <w:t xml:space="preserve"> 1-A-2-B, </w:t>
      </w:r>
      <w:proofErr w:type="spellStart"/>
      <w:r>
        <w:t>etc</w:t>
      </w:r>
      <w:proofErr w:type="spellEnd"/>
      <w:r>
        <w:t>). The time taken to accomplish this is recorded in seconds.</w:t>
      </w:r>
    </w:p>
    <w:p w14:paraId="3D38D522" w14:textId="77777777" w:rsidR="00EA3C7F" w:rsidRDefault="00EA3C7F" w:rsidP="00EA3C7F">
      <w:r>
        <w:t>5.</w:t>
      </w:r>
      <w:r>
        <w:tab/>
        <w:t>COWAT-FAS test for executive functioning. Verbal fluency was assessed with the Controlled Oral Word Association Test (COWAT)-FAS letters format. In three separate trials, the test requires participants to generate as many words as they can that begin with F, A, and S in 60 sec. (in Malayalam-ka, pa, ma).</w:t>
      </w:r>
    </w:p>
    <w:p w14:paraId="485541F5" w14:textId="67AD7B27" w:rsidR="00EA3C7F" w:rsidRDefault="00EA3C7F" w:rsidP="00EA3C7F">
      <w:r>
        <w:t>6.</w:t>
      </w:r>
      <w:r>
        <w:tab/>
        <w:t xml:space="preserve">Logical memory test- for short-term learning and memory. This test records the number of details participants recall from a short story immediately and after a </w:t>
      </w:r>
      <w:r w:rsidR="00944926">
        <w:t>20-minute</w:t>
      </w:r>
      <w:r>
        <w:t xml:space="preserve"> delay. The maximum number of words of recall was 24.</w:t>
      </w:r>
    </w:p>
    <w:p w14:paraId="09D02E39" w14:textId="77777777" w:rsidR="00EA3C7F" w:rsidRDefault="00EA3C7F" w:rsidP="00EA3C7F"/>
    <w:p w14:paraId="1289E87F" w14:textId="77777777" w:rsidR="00EA3C7F" w:rsidRPr="000779A4" w:rsidRDefault="00EA3C7F" w:rsidP="00EA3C7F">
      <w:pPr>
        <w:rPr>
          <w:b/>
          <w:bCs/>
        </w:rPr>
      </w:pPr>
      <w:r w:rsidRPr="000779A4">
        <w:rPr>
          <w:b/>
          <w:bCs/>
        </w:rPr>
        <w:t>3. Analysis</w:t>
      </w:r>
    </w:p>
    <w:p w14:paraId="4FA914EC" w14:textId="77777777" w:rsidR="00EA3C7F" w:rsidRDefault="00EA3C7F" w:rsidP="00EA3C7F"/>
    <w:p w14:paraId="249471D6" w14:textId="1D312691" w:rsidR="00EA3C7F" w:rsidRDefault="00EA3C7F" w:rsidP="00EA3C7F">
      <w:r>
        <w:t xml:space="preserve">The SPSS 20 software package was used to implement the analyses. The sample size was calculated assuming the mean (SD) for the COWAT-FAS test in a prior </w:t>
      </w:r>
      <w:r w:rsidR="00944926">
        <w:t>study (</w:t>
      </w:r>
      <w:r>
        <w:t>Levy et al., 2013) among people with BPAD with psychotic features to be 40.7(9.6) and those with no psychotic features to be 47.1(9.4); the power of 80% and alpha error 5%; the sample size was 36 in each group. The final sample size taken for the study was 40 in each group (Total: 80 patients). P value&lt;0.05 was taken as statistically significant.</w:t>
      </w:r>
    </w:p>
    <w:p w14:paraId="07833A56" w14:textId="77777777" w:rsidR="00E62120" w:rsidRDefault="00E62120" w:rsidP="00EA3C7F">
      <w:pPr>
        <w:rPr>
          <w:b/>
          <w:bCs/>
        </w:rPr>
      </w:pPr>
    </w:p>
    <w:p w14:paraId="6DDFD8E2" w14:textId="7FEB78B8" w:rsidR="00EA3C7F" w:rsidRPr="000779A4" w:rsidRDefault="00EA3C7F" w:rsidP="00EA3C7F">
      <w:pPr>
        <w:rPr>
          <w:b/>
          <w:bCs/>
        </w:rPr>
      </w:pPr>
      <w:r w:rsidRPr="000779A4">
        <w:rPr>
          <w:b/>
          <w:bCs/>
        </w:rPr>
        <w:lastRenderedPageBreak/>
        <w:t>4. Results and discussion</w:t>
      </w:r>
    </w:p>
    <w:p w14:paraId="3F905482" w14:textId="1E863BED" w:rsidR="00EA3C7F" w:rsidRDefault="00EA3C7F" w:rsidP="00EA3C7F">
      <w:r>
        <w:t xml:space="preserve">The two groups were evenly divided between BPAD patients with and without psychotic features. Among them, one was experiencing a depressive episode with no associated psychotic features. Three were excluded during the follow-up period, as they were </w:t>
      </w:r>
      <w:r w:rsidR="00944926">
        <w:t>readmitted (</w:t>
      </w:r>
      <w:r>
        <w:t xml:space="preserve">one without psychotic features and two with psychotic features). Seven participants (four without psychotic features and three with psychotic features) could not complete all the cognitive tests. </w:t>
      </w:r>
    </w:p>
    <w:p w14:paraId="1F06C330" w14:textId="77777777" w:rsidR="00EA3C7F" w:rsidRDefault="00EA3C7F" w:rsidP="00EA3C7F">
      <w:r w:rsidRPr="005C41CF">
        <w:t>Our aim of the study was to explore differing sociodemographic and clinical variables in patients diagnosed with BPAD with and without psychotic features along with their psychosocial functioning, factors that can affect psychosocial functioning, cognitive deficits, and the relationship between psychosocial functioning and cognitive impairment among them during early remission period of an episode.</w:t>
      </w:r>
      <w:r>
        <w:t xml:space="preserve"> </w:t>
      </w:r>
    </w:p>
    <w:p w14:paraId="617AD89C" w14:textId="77777777" w:rsidR="00EA3C7F" w:rsidRDefault="00EA3C7F" w:rsidP="00EA3C7F">
      <w:r>
        <w:t>4.1. Sociodemographic variables</w:t>
      </w:r>
    </w:p>
    <w:p w14:paraId="40D4C026" w14:textId="77777777" w:rsidR="00EA3C7F" w:rsidRDefault="00EA3C7F" w:rsidP="00EA3C7F">
      <w:r>
        <w:t xml:space="preserve">The mean age for the group with psychotic features was 43.25±14.790 and for the group without psychotic features was 35.75±15.415. Both groups were matched in terms of age and gender. The majority in both the groups had obtained middle school certificates with 50 % and 25 % in the group without psychotic features and with psychotic features </w:t>
      </w:r>
      <w:proofErr w:type="spellStart"/>
      <w:proofErr w:type="gramStart"/>
      <w:r>
        <w:t>respectively.Twenty</w:t>
      </w:r>
      <w:proofErr w:type="spellEnd"/>
      <w:proofErr w:type="gramEnd"/>
      <w:r>
        <w:t xml:space="preserve"> five percent of them were unemployed in both the groups, and most were unskilled workers. 77 percent of them were married in the group with psychotic features and 60 percent in the group without psychotic features. Most of the patients (&gt;60%) were above the poverty line in both groups, and the majority were living in rural areas (&gt;75%).</w:t>
      </w:r>
    </w:p>
    <w:p w14:paraId="3CDC45BA" w14:textId="77777777" w:rsidR="00EA3C7F" w:rsidRDefault="00EA3C7F" w:rsidP="00EA3C7F"/>
    <w:p w14:paraId="696BB4D4" w14:textId="77777777" w:rsidR="00EA3C7F" w:rsidRDefault="00EA3C7F" w:rsidP="00EA3C7F">
      <w:r>
        <w:t>4.2. Clinical variables</w:t>
      </w:r>
    </w:p>
    <w:p w14:paraId="6405150F" w14:textId="77777777" w:rsidR="00EA3C7F" w:rsidRDefault="00EA3C7F" w:rsidP="00EA3C7F">
      <w:r>
        <w:t>There was a significant group difference in duration of hospital stay (p=0.0134). The group with psychotic features was admitted for more days (16.80±10.246) compared to those without psychotic features (12.15±7.681) which highlights the severity of disease when psychotic features accompany BPAD.</w:t>
      </w:r>
    </w:p>
    <w:p w14:paraId="3205DDCE" w14:textId="77777777" w:rsidR="00EA3C7F" w:rsidRDefault="00EA3C7F" w:rsidP="00EA3C7F"/>
    <w:p w14:paraId="261AFD42" w14:textId="77699172" w:rsidR="00EA3C7F" w:rsidRDefault="00EA3C7F" w:rsidP="00EA3C7F">
      <w:r>
        <w:t>There was also a significant difference related in age of onset of illness between groups (p=0.001), and the group without psychotic features had an earlier onset of disease (20.50±7.676</w:t>
      </w:r>
      <w:r w:rsidR="00A85CFD">
        <w:t>) compared</w:t>
      </w:r>
      <w:r>
        <w:t xml:space="preserve"> to the group with psychotic features (29.35±13.532). There were no significant group differences regarding family history of BPAD as more than 65% of patients in both groups had a family history of BPAD. There was more medical comorbidity for the group with psychotic features (p=0.007) - mostly diabetes mellitus and hypertension. As they were probably on antipsychotics, this likely contributed to the higher level of comorbidities.</w:t>
      </w:r>
    </w:p>
    <w:p w14:paraId="74728326" w14:textId="77777777" w:rsidR="00EA3C7F" w:rsidRDefault="00EA3C7F" w:rsidP="00EA3C7F"/>
    <w:p w14:paraId="681E2F28" w14:textId="023CC686" w:rsidR="00EA3C7F" w:rsidRDefault="00EA3C7F" w:rsidP="00EA3C7F">
      <w:r>
        <w:lastRenderedPageBreak/>
        <w:t xml:space="preserve">There were no significant group differences related to the number of hospitalizations and duration of illness among the groups. In the previous </w:t>
      </w:r>
      <w:r w:rsidR="00A85CFD">
        <w:t>literature (</w:t>
      </w:r>
      <w:r>
        <w:t xml:space="preserve">Levy et al., 2013) there was no significant group difference between the age of onset for illness, or number of hospital stays, but the duration of illness was significantly longer for the BPAD group with psychotic features. However, in another </w:t>
      </w:r>
      <w:r w:rsidR="00A85CFD">
        <w:t>study (</w:t>
      </w:r>
      <w:r>
        <w:t xml:space="preserve">Martinez-Aran et al., 2008), there was a significantly higher number of </w:t>
      </w:r>
      <w:proofErr w:type="gramStart"/>
      <w:r>
        <w:t>hospital</w:t>
      </w:r>
      <w:proofErr w:type="gramEnd"/>
      <w:r>
        <w:t xml:space="preserve"> stays for the group with psychotic features, which is consistent with our results. (Table 1)</w:t>
      </w:r>
    </w:p>
    <w:p w14:paraId="6903F02A" w14:textId="77777777" w:rsidR="00EA3C7F" w:rsidRDefault="00EA3C7F" w:rsidP="00EA3C7F"/>
    <w:p w14:paraId="572164E8" w14:textId="77777777" w:rsidR="00EA3C7F" w:rsidRDefault="00EA3C7F" w:rsidP="00EA3C7F">
      <w:r>
        <w:t>4.3. Mood measures</w:t>
      </w:r>
    </w:p>
    <w:p w14:paraId="3728F678" w14:textId="06472913" w:rsidR="00EA3C7F" w:rsidRDefault="00EA3C7F" w:rsidP="00EA3C7F">
      <w:r>
        <w:t>There was a significant difference between the two groups for YMRS scores during follow-</w:t>
      </w:r>
      <w:r w:rsidR="00A85CFD">
        <w:t>up (</w:t>
      </w:r>
      <w:r>
        <w:t>p=0.</w:t>
      </w:r>
      <w:r w:rsidR="00A85CFD">
        <w:t>017, p</w:t>
      </w:r>
      <w:r>
        <w:t xml:space="preserve">=0.001), and the score was lower for the group without psychotic features during discharge and follow-ups. In the previous </w:t>
      </w:r>
      <w:r w:rsidR="00A85CFD">
        <w:t>studies (</w:t>
      </w:r>
      <w:r>
        <w:t>Levy et al., 2013</w:t>
      </w:r>
      <w:proofErr w:type="gramStart"/>
      <w:r>
        <w:t>),(</w:t>
      </w:r>
      <w:proofErr w:type="gramEnd"/>
      <w:r>
        <w:t>Levy &amp; Weiss, 2010),  the residual mood symptoms were significantly greater for BPAD with psychotic features during discharge and follow ups, which is corroborated in the present study.(Figure 1,Table2)</w:t>
      </w:r>
    </w:p>
    <w:p w14:paraId="3984196F" w14:textId="77777777" w:rsidR="00EA3C7F" w:rsidRDefault="00EA3C7F" w:rsidP="00EA3C7F"/>
    <w:p w14:paraId="1BD087E0" w14:textId="77777777" w:rsidR="00EA3C7F" w:rsidRDefault="00EA3C7F" w:rsidP="00EA3C7F">
      <w:r>
        <w:t>4.4. Psychosocial functioning</w:t>
      </w:r>
    </w:p>
    <w:p w14:paraId="29F959F8" w14:textId="3C6EFD9B" w:rsidR="00EA3C7F" w:rsidRDefault="00EA3C7F" w:rsidP="00EA3C7F">
      <w:r>
        <w:t xml:space="preserve">There was a significant difference between the two groups regarding GAF scoring at discharge and 6-month follow-up. The average GAF score was higher for the group without psychotic features, indicating better functioning for this group. The GAF score was increased during discharge and follow-up for both groups which means that the psychosocial functioning increased for both groups.  One </w:t>
      </w:r>
      <w:r w:rsidR="00B3730F">
        <w:t>study (</w:t>
      </w:r>
      <w:r>
        <w:t>Burton et al., 2018) found no increase in GAF score for the group without psychotic features. (Figure2, Table2)</w:t>
      </w:r>
    </w:p>
    <w:p w14:paraId="5DFD3E68" w14:textId="77777777" w:rsidR="00EA3C7F" w:rsidRDefault="00EA3C7F" w:rsidP="00EA3C7F"/>
    <w:p w14:paraId="57500847" w14:textId="77777777" w:rsidR="00EA3C7F" w:rsidRDefault="00EA3C7F" w:rsidP="00EA3C7F">
      <w:r>
        <w:t xml:space="preserve">4.5. Cognitive functioning </w:t>
      </w:r>
    </w:p>
    <w:p w14:paraId="345A663C" w14:textId="6575C66D" w:rsidR="00EA3C7F" w:rsidRDefault="00EA3C7F" w:rsidP="00EA3C7F">
      <w:r>
        <w:t xml:space="preserve">There was a significant difference between the discharge and follow-up measures in both groups for the Digit Vigilance Test, and the group with psychotic features took more time to complete the test. That indicates that attention capacity was diminished for the group with psychotic features. In the COWAT-FAS test for executive functioning, there was also a significant difference between groups during discharge and follow-ups. Again, the score was greater for the group with psychotic features, and this result was consistent with other previous </w:t>
      </w:r>
      <w:r w:rsidR="00B3730F">
        <w:t>studies (</w:t>
      </w:r>
      <w:r>
        <w:t xml:space="preserve">Udal et al., </w:t>
      </w:r>
      <w:proofErr w:type="gramStart"/>
      <w:r>
        <w:t>2013)(</w:t>
      </w:r>
      <w:proofErr w:type="spellStart"/>
      <w:proofErr w:type="gramEnd"/>
      <w:r>
        <w:t>Glahn</w:t>
      </w:r>
      <w:proofErr w:type="spellEnd"/>
      <w:r>
        <w:t xml:space="preserve"> et al., 2007).(Table 3;Figures 3,4))</w:t>
      </w:r>
    </w:p>
    <w:p w14:paraId="0B10C87E" w14:textId="77777777" w:rsidR="00EA3C7F" w:rsidRDefault="00EA3C7F" w:rsidP="00EA3C7F">
      <w:r>
        <w:tab/>
      </w:r>
    </w:p>
    <w:p w14:paraId="1DE84232" w14:textId="77777777" w:rsidR="00EA3C7F" w:rsidRDefault="00EA3C7F" w:rsidP="00EA3C7F">
      <w:r>
        <w:t>Prior studies have reported mixed findings. In one previous study, there were no significant group differences for cognitive functioning (</w:t>
      </w:r>
      <w:proofErr w:type="spellStart"/>
      <w:r>
        <w:t>Savitz</w:t>
      </w:r>
      <w:proofErr w:type="spellEnd"/>
      <w:r>
        <w:t xml:space="preserve"> et al., 2009). In another study (Martinez-Aran et al., 2008) cognitive performance was significantly better for patients without psychosis compared to those with </w:t>
      </w:r>
      <w:r>
        <w:lastRenderedPageBreak/>
        <w:t>psychotic features for verbal memory and executive functioning. Furthermore, a study by (Levy &amp; Weiss, 2010) reported greater cognitive impairment for patients with psychotic features.</w:t>
      </w:r>
    </w:p>
    <w:p w14:paraId="72404962" w14:textId="77777777" w:rsidR="00EA3C7F" w:rsidRDefault="00EA3C7F" w:rsidP="00EA3C7F"/>
    <w:p w14:paraId="274C30E9" w14:textId="77777777" w:rsidR="00EA3C7F" w:rsidRDefault="00EA3C7F" w:rsidP="00EA3C7F">
      <w:r>
        <w:t>4.6. Correlation between psychosocial functioning, sociodemographic, clinical variables, and mood measures</w:t>
      </w:r>
    </w:p>
    <w:p w14:paraId="30FD1B4F" w14:textId="3D3CDA92" w:rsidR="00EA3C7F" w:rsidRDefault="00EA3C7F" w:rsidP="00EA3C7F">
      <w:r>
        <w:t xml:space="preserve">Psychosocial functioning was significantly better in patients without psychotic features who were younger. In one previous </w:t>
      </w:r>
      <w:r w:rsidR="00B3730F">
        <w:t>study (</w:t>
      </w:r>
      <w:r>
        <w:t xml:space="preserve">Burdick et al., 2010), psychosocial functioning was negatively correlated with the number of hospitalizations. In our study, YMRS scores were significantly negatively correlated with the GAF scores for both groups, which means, the more mood symptoms, the worse the psychosocial functioning. This was also reported in another </w:t>
      </w:r>
      <w:r w:rsidR="00B3730F">
        <w:t>study (</w:t>
      </w:r>
      <w:r>
        <w:t>Mur et al., 2009) where mood measures were negatively correlated with psychosocial functioning. Moreover, the psychosocial functioning of the group without psychotic features was negatively impacted as the number of hospitalizations increased. (Table 4)</w:t>
      </w:r>
    </w:p>
    <w:p w14:paraId="790D762B" w14:textId="77777777" w:rsidR="00EA3C7F" w:rsidRDefault="00EA3C7F" w:rsidP="00EA3C7F"/>
    <w:p w14:paraId="147B52F9" w14:textId="77777777" w:rsidR="00EA3C7F" w:rsidRDefault="00EA3C7F" w:rsidP="00EA3C7F">
      <w:r>
        <w:t>4.7. Correlation between psychosocial functioning and cognitive impairment during discharge and follow-ups at 3 and 6 months</w:t>
      </w:r>
    </w:p>
    <w:p w14:paraId="5A2ADDF7" w14:textId="03E24FB9" w:rsidR="00EA3C7F" w:rsidRDefault="00EA3C7F" w:rsidP="00EA3C7F">
      <w:r>
        <w:t xml:space="preserve">For the past several years, there has been a growing appreciation for the importance of identifying and treating cognitive impairment associated with BPAD, since it persists in remission periods. Evidence indicates that neurocognitive dysfunction can significantly influence patients’ psychosocial functioning. In our study, the psychosocial functioning during discharge and follow-ups was compared with cognitive test performance. There is a significant positive correlation at discharge between GAF scores and the COWAT-FAS </w:t>
      </w:r>
      <w:r w:rsidR="00B3730F">
        <w:t>test measuring</w:t>
      </w:r>
      <w:r>
        <w:t xml:space="preserve"> executive function for BPAD with psychotic features. Moreover, it was found during the 3-month follow-up that, shorter completion times for TRAIL MAKING TEST –Measuring executive function, were correlated with higher GAF scores. Thus, the patients who had better executive function also had better psychosocial functioning. However, during the 6-month follow-up, none of the cognitive tests were significantly correlated with GAF scores. (Table 5)</w:t>
      </w:r>
    </w:p>
    <w:p w14:paraId="39923FD2" w14:textId="77777777" w:rsidR="00EA3C7F" w:rsidRDefault="00EA3C7F" w:rsidP="00EA3C7F"/>
    <w:p w14:paraId="3AA73521" w14:textId="5E942CE4" w:rsidR="00EA3C7F" w:rsidRDefault="00EA3C7F" w:rsidP="00EA3C7F">
      <w:r>
        <w:t xml:space="preserve">Therefore, psychosocial functioning is correlated with executive functioning, which is in line with previous </w:t>
      </w:r>
      <w:r w:rsidR="00B3730F">
        <w:t>studies (</w:t>
      </w:r>
      <w:r>
        <w:t xml:space="preserve">Levy et al., </w:t>
      </w:r>
      <w:r w:rsidR="00B3730F">
        <w:t>2013) (</w:t>
      </w:r>
      <w:r>
        <w:t xml:space="preserve">Wingo et al., </w:t>
      </w:r>
      <w:proofErr w:type="gramStart"/>
      <w:r>
        <w:t>2009)(</w:t>
      </w:r>
      <w:proofErr w:type="spellStart"/>
      <w:proofErr w:type="gramEnd"/>
      <w:r>
        <w:t>Konstantakopoulos</w:t>
      </w:r>
      <w:proofErr w:type="spellEnd"/>
      <w:r>
        <w:t xml:space="preserve"> et al., 2016). It is also reported in one study that the processing speed was positively correlated with psychosocial </w:t>
      </w:r>
      <w:r w:rsidR="00B3730F">
        <w:t>functioning (</w:t>
      </w:r>
      <w:r>
        <w:t xml:space="preserve">Mur et al., 2009). Such research is important to advance the understanding of how psychosocial functioning and other possible factors cause cognitive impairment in BPAD in order to develop prevention strategies and effective treatments. </w:t>
      </w:r>
    </w:p>
    <w:p w14:paraId="3BAE04A9" w14:textId="77777777" w:rsidR="00EA3C7F" w:rsidRDefault="00EA3C7F" w:rsidP="00EA3C7F"/>
    <w:p w14:paraId="1DF5A0C9" w14:textId="406A7FA5" w:rsidR="00EA3C7F" w:rsidRDefault="00EA3C7F" w:rsidP="00EA3C7F">
      <w:r>
        <w:lastRenderedPageBreak/>
        <w:t xml:space="preserve">A research has focused on how to treat cognitive deficits following an acute episode of BPAD. In a </w:t>
      </w:r>
      <w:proofErr w:type="spellStart"/>
      <w:r>
        <w:t>posthoc</w:t>
      </w:r>
      <w:proofErr w:type="spellEnd"/>
      <w:r>
        <w:t xml:space="preserve"> analysis of an 8-week, double-blind, placebo-controlled trial, it was observed that Pramipexole, a dopaminergic agonist, could have a beneficial effect on processing speed and working memory in euthymic BPAD I patients. Another agent investigated was intranasal insulin which resulted in improvement in executive function (the trail making test </w:t>
      </w:r>
      <w:r w:rsidR="00B3730F">
        <w:t>part B</w:t>
      </w:r>
      <w:r>
        <w:t xml:space="preserve">) for euthymic patients. Yet another compound showing a positive effect on some cognitive measures in euthymic or subsyndromal BPAD patients was the extract of </w:t>
      </w:r>
      <w:proofErr w:type="spellStart"/>
      <w:r>
        <w:t>Withania</w:t>
      </w:r>
      <w:proofErr w:type="spellEnd"/>
      <w:r>
        <w:t xml:space="preserve"> </w:t>
      </w:r>
      <w:proofErr w:type="spellStart"/>
      <w:r>
        <w:t>Somnifera</w:t>
      </w:r>
      <w:proofErr w:type="spellEnd"/>
      <w:r>
        <w:t xml:space="preserve">, an herbal medicine with antioxidant and neuroprotective </w:t>
      </w:r>
      <w:r w:rsidR="00B3730F">
        <w:t>effects (</w:t>
      </w:r>
      <w:proofErr w:type="spellStart"/>
      <w:r>
        <w:t>Solé</w:t>
      </w:r>
      <w:proofErr w:type="spellEnd"/>
      <w:r>
        <w:t xml:space="preserve"> et al., 2017).</w:t>
      </w:r>
    </w:p>
    <w:p w14:paraId="73260D3E" w14:textId="77777777" w:rsidR="00EA3C7F" w:rsidRDefault="00EA3C7F" w:rsidP="00EA3C7F"/>
    <w:p w14:paraId="15D6F5A4" w14:textId="77777777" w:rsidR="00EA3C7F" w:rsidRDefault="00EA3C7F" w:rsidP="00EA3C7F">
      <w:r>
        <w:t xml:space="preserve">This study had a sizable number of participants from the community which facilitates generalization. There are many limitations to this study. First, we did not control for medication effects which can influence cognitive test performance. It was not possible because the study contained follow-up at 3 and 6 months also. Secondly, patients in the group with psychotic features might have still been experiencing psychotic symptoms which could have contributed to their lower performance. Finally, the majority of the BPAD patients were in manic rather than depressive states; hence the study could not be extended to include BPAD with depressive features. </w:t>
      </w:r>
    </w:p>
    <w:p w14:paraId="729A60A1" w14:textId="77777777" w:rsidR="00EA3C7F" w:rsidRDefault="00EA3C7F" w:rsidP="00EA3C7F"/>
    <w:p w14:paraId="2779E857" w14:textId="77777777" w:rsidR="00EA3C7F" w:rsidRPr="00585BB3" w:rsidRDefault="00EA3C7F" w:rsidP="00EA3C7F">
      <w:pPr>
        <w:rPr>
          <w:b/>
          <w:bCs/>
        </w:rPr>
      </w:pPr>
      <w:r w:rsidRPr="00585BB3">
        <w:rPr>
          <w:b/>
          <w:bCs/>
        </w:rPr>
        <w:t>5. Conclusion and future directions</w:t>
      </w:r>
    </w:p>
    <w:p w14:paraId="0AD32228" w14:textId="7E157E92" w:rsidR="00EA3C7F" w:rsidRDefault="00EA3C7F" w:rsidP="00EA3C7F">
      <w:r>
        <w:t xml:space="preserve">This study was conducted to examine whether the BPAD with psychotic features involves more cognitive and psychosocial impairment than BPAD without psychotic features </w:t>
      </w:r>
      <w:r w:rsidR="00B3730F">
        <w:t>and</w:t>
      </w:r>
      <w:r>
        <w:t xml:space="preserve"> to establish whether cognitive impairment is related to psychosocial dysfunction during the early remission period. We observed significant group differences between cognitive tests for attention. Attention was better for the group without psychotic features. Psychosocial functioning was lower for the group with psychotic features, and it depended on the number of previous hospitalizations. The study also revealed that cognitive (executive) dysfunction may cause psychosocial dysfunction, which is consistent with previous studies.</w:t>
      </w:r>
    </w:p>
    <w:p w14:paraId="60D2161F" w14:textId="77777777" w:rsidR="00EA3C7F" w:rsidRDefault="00EA3C7F" w:rsidP="00EA3C7F"/>
    <w:p w14:paraId="76A788F0" w14:textId="3B452C62" w:rsidR="00EA3C7F" w:rsidRDefault="00EA3C7F" w:rsidP="00EA3C7F">
      <w:r>
        <w:t xml:space="preserve">Cognitive and psychosocial impairment in BPAD have often been neglected topics that are of utmost relevance in contemporary society. Future interventional research is needed which focuses on the remission periods of the illness to confirm that cognitive impairment in BPAD patients is a causal factor in psychosocial dysfunction. Research on neurobiological differences between patients remitting from mood disturbance with psychotic features versus without psychotic features would also be informative. Additional treatment strategies such as cognitive and functional </w:t>
      </w:r>
      <w:r w:rsidR="00B3730F">
        <w:t>remediation need</w:t>
      </w:r>
      <w:r>
        <w:t xml:space="preserve"> to be implemented during the early remission period to mitigate cognitive impairment and psychosocial impairment in BPAD patients and improve metacognition and psychosocial skills.</w:t>
      </w:r>
    </w:p>
    <w:p w14:paraId="143D4BB0" w14:textId="77777777" w:rsidR="00EA3C7F" w:rsidRDefault="00EA3C7F" w:rsidP="00EA3C7F"/>
    <w:p w14:paraId="0E8D5304" w14:textId="77777777" w:rsidR="00EA3C7F" w:rsidRDefault="00EA3C7F" w:rsidP="00EA3C7F">
      <w:r>
        <w:t>Declarations of interest</w:t>
      </w:r>
    </w:p>
    <w:p w14:paraId="5EB67D25" w14:textId="77777777" w:rsidR="00EA3C7F" w:rsidRDefault="00EA3C7F" w:rsidP="00EA3C7F">
      <w:r>
        <w:lastRenderedPageBreak/>
        <w:t>None</w:t>
      </w:r>
    </w:p>
    <w:p w14:paraId="19EBD33A" w14:textId="77777777" w:rsidR="00EA3C7F" w:rsidRDefault="00EA3C7F" w:rsidP="00EA3C7F">
      <w:r>
        <w:t>Funding source</w:t>
      </w:r>
    </w:p>
    <w:p w14:paraId="7E6E2557" w14:textId="0C4E35D6" w:rsidR="00956EFC" w:rsidRPr="00FD0DE8" w:rsidRDefault="00EA3C7F" w:rsidP="00EA3C7F">
      <w:pPr>
        <w:autoSpaceDE w:val="0"/>
        <w:autoSpaceDN w:val="0"/>
        <w:adjustRightInd w:val="0"/>
        <w:spacing w:after="0" w:line="360" w:lineRule="auto"/>
      </w:pPr>
      <w:r>
        <w:t>Nil</w:t>
      </w:r>
    </w:p>
    <w:p w14:paraId="610C8182" w14:textId="77777777" w:rsidR="00F1194A" w:rsidRDefault="00F1194A" w:rsidP="00F1194A">
      <w:pPr>
        <w:spacing w:after="0" w:line="360" w:lineRule="auto"/>
        <w:jc w:val="both"/>
        <w:rPr>
          <w:rFonts w:ascii="Times New Roman" w:hAnsi="Times New Roman" w:cs="Times New Roman"/>
          <w:bCs/>
          <w:color w:val="000000"/>
          <w:sz w:val="24"/>
          <w:szCs w:val="24"/>
        </w:rPr>
      </w:pPr>
    </w:p>
    <w:p w14:paraId="523C4118"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6E4807A0"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708DC292"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692251AE"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13A8EDA9"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175AD5BA"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534F3291"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4AFF5A40"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54999EC7"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07F5CD2C"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7B4BC102"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21F17078"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7E4CAF36"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68A2CEE6"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0EA92EF1"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7897B252"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2F97CAC7"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71FA1093"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3392B821"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291298C1"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0D0BBB39"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066C486E"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7D6E1A66"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52DD4FF5"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3C8D5CAA"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35F1AF3E"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16958F66" w14:textId="77777777" w:rsidR="000779A4" w:rsidRDefault="000779A4" w:rsidP="00E821A1">
      <w:pPr>
        <w:spacing w:after="0" w:line="360" w:lineRule="auto"/>
        <w:jc w:val="both"/>
        <w:rPr>
          <w:rFonts w:ascii="Times New Roman" w:hAnsi="Times New Roman" w:cs="Times New Roman"/>
          <w:b/>
          <w:bCs/>
          <w:color w:val="000000"/>
          <w:sz w:val="24"/>
          <w:szCs w:val="24"/>
        </w:rPr>
      </w:pPr>
    </w:p>
    <w:p w14:paraId="5E3AD779" w14:textId="13DCBEEF" w:rsidR="00E821A1" w:rsidRDefault="00E821A1" w:rsidP="00E821A1">
      <w:pPr>
        <w:spacing w:after="0" w:line="360" w:lineRule="auto"/>
        <w:jc w:val="both"/>
        <w:rPr>
          <w:rFonts w:ascii="Times New Roman" w:hAnsi="Times New Roman" w:cs="Times New Roman"/>
          <w:b/>
          <w:bCs/>
          <w:color w:val="000000"/>
          <w:sz w:val="24"/>
          <w:szCs w:val="24"/>
        </w:rPr>
      </w:pPr>
      <w:r w:rsidRPr="00B52548">
        <w:rPr>
          <w:rFonts w:ascii="Times New Roman" w:hAnsi="Times New Roman" w:cs="Times New Roman"/>
          <w:b/>
          <w:bCs/>
          <w:color w:val="000000"/>
          <w:sz w:val="24"/>
          <w:szCs w:val="24"/>
        </w:rPr>
        <w:lastRenderedPageBreak/>
        <w:t>6.T</w:t>
      </w:r>
      <w:r w:rsidR="0091083A" w:rsidRPr="00B52548">
        <w:rPr>
          <w:rFonts w:ascii="Times New Roman" w:hAnsi="Times New Roman" w:cs="Times New Roman"/>
          <w:b/>
          <w:bCs/>
          <w:color w:val="000000"/>
          <w:sz w:val="24"/>
          <w:szCs w:val="24"/>
        </w:rPr>
        <w:t>ables and graphs</w:t>
      </w:r>
    </w:p>
    <w:p w14:paraId="73681023" w14:textId="6FBD3A97" w:rsidR="00AF5FEF" w:rsidRPr="00B52548" w:rsidRDefault="00AF5FEF" w:rsidP="00AF5FEF">
      <w:pPr>
        <w:autoSpaceDE w:val="0"/>
        <w:autoSpaceDN w:val="0"/>
        <w:adjustRightInd w:val="0"/>
        <w:spacing w:after="0" w:line="360" w:lineRule="auto"/>
        <w:jc w:val="center"/>
        <w:rPr>
          <w:rFonts w:ascii="Times New Roman" w:hAnsi="Times New Roman" w:cs="Times New Roman"/>
          <w:color w:val="000000"/>
          <w:sz w:val="24"/>
          <w:szCs w:val="24"/>
        </w:rPr>
      </w:pPr>
    </w:p>
    <w:p w14:paraId="04AEFE46" w14:textId="1C4955F6" w:rsidR="00E7502B" w:rsidRDefault="0050284B" w:rsidP="006C165A">
      <w:pPr>
        <w:autoSpaceDE w:val="0"/>
        <w:autoSpaceDN w:val="0"/>
        <w:adjustRightInd w:val="0"/>
        <w:spacing w:after="0" w:line="360" w:lineRule="auto"/>
        <w:rPr>
          <w:rFonts w:ascii="Times New Roman" w:hAnsi="Times New Roman" w:cs="Times New Roman"/>
          <w:color w:val="000000"/>
          <w:sz w:val="24"/>
          <w:szCs w:val="24"/>
        </w:rPr>
      </w:pPr>
      <w:r w:rsidRPr="00B52548">
        <w:rPr>
          <w:rFonts w:ascii="Times New Roman" w:hAnsi="Times New Roman" w:cs="Times New Roman"/>
          <w:color w:val="000000"/>
          <w:sz w:val="24"/>
          <w:szCs w:val="24"/>
        </w:rPr>
        <w:t xml:space="preserve">Table </w:t>
      </w:r>
      <w:r w:rsidR="00B3730F">
        <w:rPr>
          <w:rFonts w:ascii="Times New Roman" w:hAnsi="Times New Roman" w:cs="Times New Roman"/>
          <w:color w:val="000000"/>
          <w:sz w:val="24"/>
          <w:szCs w:val="24"/>
        </w:rPr>
        <w:t>1</w:t>
      </w:r>
      <w:r w:rsidR="00B3730F" w:rsidRPr="00B52548">
        <w:rPr>
          <w:rFonts w:ascii="Times New Roman" w:hAnsi="Times New Roman" w:cs="Times New Roman"/>
          <w:color w:val="000000"/>
          <w:sz w:val="24"/>
          <w:szCs w:val="24"/>
        </w:rPr>
        <w:t>: -</w:t>
      </w:r>
      <w:r w:rsidR="006C165A" w:rsidRPr="00B52548">
        <w:rPr>
          <w:rFonts w:ascii="Times New Roman" w:hAnsi="Times New Roman" w:cs="Times New Roman"/>
          <w:color w:val="000000"/>
          <w:sz w:val="24"/>
          <w:szCs w:val="24"/>
        </w:rPr>
        <w:t>Means, Standard Deviat</w:t>
      </w:r>
      <w:r w:rsidR="00777550" w:rsidRPr="00B52548">
        <w:rPr>
          <w:rFonts w:ascii="Times New Roman" w:hAnsi="Times New Roman" w:cs="Times New Roman"/>
          <w:color w:val="000000"/>
          <w:sz w:val="24"/>
          <w:szCs w:val="24"/>
        </w:rPr>
        <w:t>ions, and Group Comparisons of C</w:t>
      </w:r>
      <w:r w:rsidR="006C165A" w:rsidRPr="00B52548">
        <w:rPr>
          <w:rFonts w:ascii="Times New Roman" w:hAnsi="Times New Roman" w:cs="Times New Roman"/>
          <w:color w:val="000000"/>
          <w:sz w:val="24"/>
          <w:szCs w:val="24"/>
        </w:rPr>
        <w:t>linical</w:t>
      </w:r>
      <w:r w:rsidR="00777550" w:rsidRPr="00B52548">
        <w:rPr>
          <w:rFonts w:ascii="Times New Roman" w:hAnsi="Times New Roman" w:cs="Times New Roman"/>
          <w:color w:val="000000"/>
          <w:sz w:val="24"/>
          <w:szCs w:val="24"/>
        </w:rPr>
        <w:t xml:space="preserve"> </w:t>
      </w:r>
      <w:r w:rsidR="006C165A" w:rsidRPr="00B52548">
        <w:rPr>
          <w:rFonts w:ascii="Times New Roman" w:hAnsi="Times New Roman" w:cs="Times New Roman"/>
          <w:color w:val="000000"/>
          <w:sz w:val="24"/>
          <w:szCs w:val="24"/>
        </w:rPr>
        <w:t>Variables.</w:t>
      </w:r>
    </w:p>
    <w:tbl>
      <w:tblPr>
        <w:tblStyle w:val="TableGrid"/>
        <w:tblpPr w:leftFromText="180" w:rightFromText="180" w:vertAnchor="text" w:horzAnchor="margin" w:tblpY="673"/>
        <w:tblW w:w="8402" w:type="dxa"/>
        <w:tblLook w:val="04A0" w:firstRow="1" w:lastRow="0" w:firstColumn="1" w:lastColumn="0" w:noHBand="0" w:noVBand="1"/>
      </w:tblPr>
      <w:tblGrid>
        <w:gridCol w:w="905"/>
        <w:gridCol w:w="1832"/>
        <w:gridCol w:w="952"/>
        <w:gridCol w:w="1832"/>
        <w:gridCol w:w="952"/>
        <w:gridCol w:w="894"/>
        <w:gridCol w:w="1035"/>
      </w:tblGrid>
      <w:tr w:rsidR="00E7502B" w:rsidRPr="00B52548" w14:paraId="5538CA6F" w14:textId="77777777" w:rsidTr="00E7502B">
        <w:trPr>
          <w:trHeight w:val="298"/>
        </w:trPr>
        <w:tc>
          <w:tcPr>
            <w:tcW w:w="905" w:type="dxa"/>
            <w:noWrap/>
            <w:hideMark/>
          </w:tcPr>
          <w:p w14:paraId="20113D34"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Variable</w:t>
            </w:r>
          </w:p>
        </w:tc>
        <w:tc>
          <w:tcPr>
            <w:tcW w:w="2784" w:type="dxa"/>
            <w:gridSpan w:val="2"/>
            <w:noWrap/>
            <w:hideMark/>
          </w:tcPr>
          <w:p w14:paraId="5065C50A"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With Psycho</w:t>
            </w:r>
            <w:r>
              <w:rPr>
                <w:color w:val="000000"/>
              </w:rPr>
              <w:t>tic features</w:t>
            </w:r>
          </w:p>
        </w:tc>
        <w:tc>
          <w:tcPr>
            <w:tcW w:w="2784" w:type="dxa"/>
            <w:gridSpan w:val="2"/>
            <w:noWrap/>
            <w:hideMark/>
          </w:tcPr>
          <w:p w14:paraId="6B44DF9B"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Without Psycho</w:t>
            </w:r>
            <w:r>
              <w:rPr>
                <w:color w:val="000000"/>
              </w:rPr>
              <w:t>tic features</w:t>
            </w:r>
          </w:p>
        </w:tc>
        <w:tc>
          <w:tcPr>
            <w:tcW w:w="894" w:type="dxa"/>
          </w:tcPr>
          <w:p w14:paraId="4C432861"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t value</w:t>
            </w:r>
          </w:p>
        </w:tc>
        <w:tc>
          <w:tcPr>
            <w:tcW w:w="1035" w:type="dxa"/>
            <w:noWrap/>
            <w:hideMark/>
          </w:tcPr>
          <w:p w14:paraId="477100CE"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p value</w:t>
            </w:r>
          </w:p>
        </w:tc>
      </w:tr>
      <w:tr w:rsidR="00E7502B" w:rsidRPr="00B52548" w14:paraId="287B2520" w14:textId="77777777" w:rsidTr="00E7502B">
        <w:trPr>
          <w:trHeight w:val="298"/>
        </w:trPr>
        <w:tc>
          <w:tcPr>
            <w:tcW w:w="905" w:type="dxa"/>
            <w:noWrap/>
            <w:hideMark/>
          </w:tcPr>
          <w:p w14:paraId="7EBAD7DE" w14:textId="77777777" w:rsidR="00E7502B" w:rsidRPr="0066120F" w:rsidRDefault="00E7502B" w:rsidP="00E7502B">
            <w:pPr>
              <w:autoSpaceDE w:val="0"/>
              <w:autoSpaceDN w:val="0"/>
              <w:adjustRightInd w:val="0"/>
              <w:spacing w:before="120" w:after="120" w:line="360" w:lineRule="auto"/>
              <w:rPr>
                <w:color w:val="000000"/>
              </w:rPr>
            </w:pPr>
          </w:p>
        </w:tc>
        <w:tc>
          <w:tcPr>
            <w:tcW w:w="1832" w:type="dxa"/>
            <w:noWrap/>
            <w:hideMark/>
          </w:tcPr>
          <w:p w14:paraId="60F84DCB"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MEAN</w:t>
            </w:r>
          </w:p>
        </w:tc>
        <w:tc>
          <w:tcPr>
            <w:tcW w:w="952" w:type="dxa"/>
            <w:noWrap/>
            <w:hideMark/>
          </w:tcPr>
          <w:p w14:paraId="30CD3F30"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SD</w:t>
            </w:r>
          </w:p>
        </w:tc>
        <w:tc>
          <w:tcPr>
            <w:tcW w:w="1832" w:type="dxa"/>
            <w:noWrap/>
            <w:hideMark/>
          </w:tcPr>
          <w:p w14:paraId="4CFDD121"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MEAN</w:t>
            </w:r>
          </w:p>
        </w:tc>
        <w:tc>
          <w:tcPr>
            <w:tcW w:w="952" w:type="dxa"/>
            <w:noWrap/>
            <w:hideMark/>
          </w:tcPr>
          <w:p w14:paraId="404CBDC6"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SD</w:t>
            </w:r>
          </w:p>
        </w:tc>
        <w:tc>
          <w:tcPr>
            <w:tcW w:w="894" w:type="dxa"/>
          </w:tcPr>
          <w:p w14:paraId="5B192627" w14:textId="77777777" w:rsidR="00E7502B" w:rsidRPr="0066120F" w:rsidRDefault="00E7502B" w:rsidP="00E7502B">
            <w:pPr>
              <w:autoSpaceDE w:val="0"/>
              <w:autoSpaceDN w:val="0"/>
              <w:adjustRightInd w:val="0"/>
              <w:spacing w:before="120" w:after="120" w:line="360" w:lineRule="auto"/>
              <w:jc w:val="center"/>
              <w:rPr>
                <w:color w:val="000000"/>
              </w:rPr>
            </w:pPr>
          </w:p>
        </w:tc>
        <w:tc>
          <w:tcPr>
            <w:tcW w:w="1035" w:type="dxa"/>
            <w:noWrap/>
            <w:hideMark/>
          </w:tcPr>
          <w:p w14:paraId="6ED97C1C"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&lt;0.05*</w:t>
            </w:r>
          </w:p>
        </w:tc>
      </w:tr>
      <w:tr w:rsidR="00E7502B" w:rsidRPr="00B52548" w14:paraId="3362D6C7" w14:textId="77777777" w:rsidTr="00E7502B">
        <w:trPr>
          <w:trHeight w:val="298"/>
        </w:trPr>
        <w:tc>
          <w:tcPr>
            <w:tcW w:w="905" w:type="dxa"/>
            <w:noWrap/>
            <w:hideMark/>
          </w:tcPr>
          <w:p w14:paraId="174C0648" w14:textId="77777777" w:rsidR="00E7502B" w:rsidRPr="0066120F" w:rsidRDefault="00E7502B" w:rsidP="00E7502B">
            <w:pPr>
              <w:autoSpaceDE w:val="0"/>
              <w:autoSpaceDN w:val="0"/>
              <w:adjustRightInd w:val="0"/>
              <w:spacing w:before="120" w:after="120" w:line="360" w:lineRule="auto"/>
              <w:rPr>
                <w:color w:val="000000"/>
              </w:rPr>
            </w:pPr>
            <w:r w:rsidRPr="0066120F">
              <w:rPr>
                <w:color w:val="000000"/>
              </w:rPr>
              <w:t>DHS</w:t>
            </w:r>
          </w:p>
        </w:tc>
        <w:tc>
          <w:tcPr>
            <w:tcW w:w="1832" w:type="dxa"/>
            <w:noWrap/>
            <w:hideMark/>
          </w:tcPr>
          <w:p w14:paraId="5A99C0D6"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16.80</w:t>
            </w:r>
          </w:p>
        </w:tc>
        <w:tc>
          <w:tcPr>
            <w:tcW w:w="952" w:type="dxa"/>
            <w:noWrap/>
            <w:hideMark/>
          </w:tcPr>
          <w:p w14:paraId="5787B2EC"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10.246</w:t>
            </w:r>
          </w:p>
        </w:tc>
        <w:tc>
          <w:tcPr>
            <w:tcW w:w="1832" w:type="dxa"/>
            <w:noWrap/>
            <w:hideMark/>
          </w:tcPr>
          <w:p w14:paraId="0BE7F821"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12.15</w:t>
            </w:r>
          </w:p>
        </w:tc>
        <w:tc>
          <w:tcPr>
            <w:tcW w:w="952" w:type="dxa"/>
            <w:noWrap/>
            <w:hideMark/>
          </w:tcPr>
          <w:p w14:paraId="5D26CF25"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7.681</w:t>
            </w:r>
          </w:p>
        </w:tc>
        <w:tc>
          <w:tcPr>
            <w:tcW w:w="894" w:type="dxa"/>
          </w:tcPr>
          <w:p w14:paraId="34E5B162"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2.297</w:t>
            </w:r>
          </w:p>
        </w:tc>
        <w:tc>
          <w:tcPr>
            <w:tcW w:w="1035" w:type="dxa"/>
            <w:noWrap/>
            <w:hideMark/>
          </w:tcPr>
          <w:p w14:paraId="6AD2C880"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0.024*</w:t>
            </w:r>
          </w:p>
        </w:tc>
      </w:tr>
      <w:tr w:rsidR="00E7502B" w:rsidRPr="00B52548" w14:paraId="32F821AF" w14:textId="77777777" w:rsidTr="00E7502B">
        <w:trPr>
          <w:trHeight w:val="298"/>
        </w:trPr>
        <w:tc>
          <w:tcPr>
            <w:tcW w:w="905" w:type="dxa"/>
            <w:noWrap/>
            <w:hideMark/>
          </w:tcPr>
          <w:p w14:paraId="71D668EE" w14:textId="77777777" w:rsidR="00E7502B" w:rsidRPr="0066120F" w:rsidRDefault="00E7502B" w:rsidP="00E7502B">
            <w:pPr>
              <w:autoSpaceDE w:val="0"/>
              <w:autoSpaceDN w:val="0"/>
              <w:adjustRightInd w:val="0"/>
              <w:spacing w:before="120" w:after="120" w:line="360" w:lineRule="auto"/>
              <w:rPr>
                <w:color w:val="000000"/>
              </w:rPr>
            </w:pPr>
            <w:r w:rsidRPr="0066120F">
              <w:rPr>
                <w:color w:val="000000"/>
              </w:rPr>
              <w:t>AOO</w:t>
            </w:r>
          </w:p>
        </w:tc>
        <w:tc>
          <w:tcPr>
            <w:tcW w:w="1832" w:type="dxa"/>
            <w:noWrap/>
            <w:hideMark/>
          </w:tcPr>
          <w:p w14:paraId="49846E18"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29.35</w:t>
            </w:r>
          </w:p>
        </w:tc>
        <w:tc>
          <w:tcPr>
            <w:tcW w:w="952" w:type="dxa"/>
            <w:noWrap/>
            <w:hideMark/>
          </w:tcPr>
          <w:p w14:paraId="78805D77"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13.532</w:t>
            </w:r>
          </w:p>
        </w:tc>
        <w:tc>
          <w:tcPr>
            <w:tcW w:w="1832" w:type="dxa"/>
            <w:noWrap/>
            <w:hideMark/>
          </w:tcPr>
          <w:p w14:paraId="6F8E9AC2"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20.50</w:t>
            </w:r>
          </w:p>
        </w:tc>
        <w:tc>
          <w:tcPr>
            <w:tcW w:w="952" w:type="dxa"/>
            <w:noWrap/>
            <w:hideMark/>
          </w:tcPr>
          <w:p w14:paraId="4CD4007C"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7.676</w:t>
            </w:r>
          </w:p>
        </w:tc>
        <w:tc>
          <w:tcPr>
            <w:tcW w:w="894" w:type="dxa"/>
          </w:tcPr>
          <w:p w14:paraId="7C236032"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3.598</w:t>
            </w:r>
          </w:p>
        </w:tc>
        <w:tc>
          <w:tcPr>
            <w:tcW w:w="1035" w:type="dxa"/>
            <w:noWrap/>
            <w:hideMark/>
          </w:tcPr>
          <w:p w14:paraId="742E657B"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0.001*</w:t>
            </w:r>
          </w:p>
        </w:tc>
      </w:tr>
      <w:tr w:rsidR="00E7502B" w:rsidRPr="00B52548" w14:paraId="0E7B1813" w14:textId="77777777" w:rsidTr="00E7502B">
        <w:trPr>
          <w:trHeight w:val="298"/>
        </w:trPr>
        <w:tc>
          <w:tcPr>
            <w:tcW w:w="905" w:type="dxa"/>
            <w:noWrap/>
            <w:hideMark/>
          </w:tcPr>
          <w:p w14:paraId="7431161B" w14:textId="77777777" w:rsidR="00E7502B" w:rsidRPr="0066120F" w:rsidRDefault="00E7502B" w:rsidP="00E7502B">
            <w:pPr>
              <w:autoSpaceDE w:val="0"/>
              <w:autoSpaceDN w:val="0"/>
              <w:adjustRightInd w:val="0"/>
              <w:spacing w:before="120" w:after="120" w:line="360" w:lineRule="auto"/>
              <w:rPr>
                <w:color w:val="000000"/>
              </w:rPr>
            </w:pPr>
            <w:r w:rsidRPr="0066120F">
              <w:rPr>
                <w:color w:val="000000"/>
              </w:rPr>
              <w:t>NOH</w:t>
            </w:r>
          </w:p>
        </w:tc>
        <w:tc>
          <w:tcPr>
            <w:tcW w:w="1832" w:type="dxa"/>
            <w:noWrap/>
            <w:hideMark/>
          </w:tcPr>
          <w:p w14:paraId="1A29FA5B"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3.65</w:t>
            </w:r>
          </w:p>
        </w:tc>
        <w:tc>
          <w:tcPr>
            <w:tcW w:w="952" w:type="dxa"/>
            <w:noWrap/>
            <w:hideMark/>
          </w:tcPr>
          <w:p w14:paraId="577621F1"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2.587</w:t>
            </w:r>
          </w:p>
        </w:tc>
        <w:tc>
          <w:tcPr>
            <w:tcW w:w="1832" w:type="dxa"/>
            <w:noWrap/>
            <w:hideMark/>
          </w:tcPr>
          <w:p w14:paraId="6A00ECD2"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4.25</w:t>
            </w:r>
          </w:p>
        </w:tc>
        <w:tc>
          <w:tcPr>
            <w:tcW w:w="952" w:type="dxa"/>
            <w:noWrap/>
            <w:hideMark/>
          </w:tcPr>
          <w:p w14:paraId="408A1F10"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3.564</w:t>
            </w:r>
          </w:p>
        </w:tc>
        <w:tc>
          <w:tcPr>
            <w:tcW w:w="894" w:type="dxa"/>
          </w:tcPr>
          <w:p w14:paraId="0DD67C70"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-0.862</w:t>
            </w:r>
          </w:p>
        </w:tc>
        <w:tc>
          <w:tcPr>
            <w:tcW w:w="1035" w:type="dxa"/>
            <w:noWrap/>
            <w:hideMark/>
          </w:tcPr>
          <w:p w14:paraId="78707D12"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0.392</w:t>
            </w:r>
          </w:p>
        </w:tc>
      </w:tr>
      <w:tr w:rsidR="00E7502B" w:rsidRPr="00B52548" w14:paraId="7C4AA47B" w14:textId="77777777" w:rsidTr="00E7502B">
        <w:trPr>
          <w:trHeight w:val="298"/>
        </w:trPr>
        <w:tc>
          <w:tcPr>
            <w:tcW w:w="905" w:type="dxa"/>
            <w:noWrap/>
            <w:hideMark/>
          </w:tcPr>
          <w:p w14:paraId="2357402F" w14:textId="77777777" w:rsidR="00E7502B" w:rsidRPr="0066120F" w:rsidRDefault="00E7502B" w:rsidP="00E7502B">
            <w:pPr>
              <w:autoSpaceDE w:val="0"/>
              <w:autoSpaceDN w:val="0"/>
              <w:adjustRightInd w:val="0"/>
              <w:spacing w:before="120" w:after="120" w:line="360" w:lineRule="auto"/>
              <w:rPr>
                <w:color w:val="000000"/>
              </w:rPr>
            </w:pPr>
            <w:r w:rsidRPr="0066120F">
              <w:rPr>
                <w:color w:val="000000"/>
              </w:rPr>
              <w:t>DOI</w:t>
            </w:r>
          </w:p>
        </w:tc>
        <w:tc>
          <w:tcPr>
            <w:tcW w:w="1832" w:type="dxa"/>
            <w:noWrap/>
            <w:hideMark/>
          </w:tcPr>
          <w:p w14:paraId="65461627"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176.925</w:t>
            </w:r>
          </w:p>
        </w:tc>
        <w:tc>
          <w:tcPr>
            <w:tcW w:w="952" w:type="dxa"/>
            <w:noWrap/>
            <w:hideMark/>
          </w:tcPr>
          <w:p w14:paraId="4CCCB028"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164.446</w:t>
            </w:r>
          </w:p>
        </w:tc>
        <w:tc>
          <w:tcPr>
            <w:tcW w:w="1832" w:type="dxa"/>
            <w:noWrap/>
            <w:hideMark/>
          </w:tcPr>
          <w:p w14:paraId="638ECE23"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177.550</w:t>
            </w:r>
          </w:p>
        </w:tc>
        <w:tc>
          <w:tcPr>
            <w:tcW w:w="952" w:type="dxa"/>
            <w:noWrap/>
            <w:hideMark/>
          </w:tcPr>
          <w:p w14:paraId="78870C39"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145.181</w:t>
            </w:r>
          </w:p>
        </w:tc>
        <w:tc>
          <w:tcPr>
            <w:tcW w:w="894" w:type="dxa"/>
          </w:tcPr>
          <w:p w14:paraId="6FECDC0B"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-0.018</w:t>
            </w:r>
          </w:p>
        </w:tc>
        <w:tc>
          <w:tcPr>
            <w:tcW w:w="1035" w:type="dxa"/>
            <w:noWrap/>
            <w:hideMark/>
          </w:tcPr>
          <w:p w14:paraId="6CC27D37" w14:textId="77777777" w:rsidR="00E7502B" w:rsidRPr="0066120F" w:rsidRDefault="00E7502B" w:rsidP="00E7502B">
            <w:pPr>
              <w:autoSpaceDE w:val="0"/>
              <w:autoSpaceDN w:val="0"/>
              <w:adjustRightInd w:val="0"/>
              <w:spacing w:before="120" w:after="120" w:line="360" w:lineRule="auto"/>
              <w:jc w:val="center"/>
              <w:rPr>
                <w:color w:val="000000"/>
              </w:rPr>
            </w:pPr>
            <w:r w:rsidRPr="0066120F">
              <w:rPr>
                <w:color w:val="000000"/>
              </w:rPr>
              <w:t>0.986</w:t>
            </w:r>
          </w:p>
        </w:tc>
      </w:tr>
    </w:tbl>
    <w:p w14:paraId="51FBC61F" w14:textId="77777777" w:rsidR="00E7502B" w:rsidRPr="00B52548" w:rsidRDefault="00E7502B" w:rsidP="006C165A">
      <w:pPr>
        <w:autoSpaceDE w:val="0"/>
        <w:autoSpaceDN w:val="0"/>
        <w:adjustRightInd w:val="0"/>
        <w:spacing w:after="0" w:line="360" w:lineRule="auto"/>
        <w:rPr>
          <w:rFonts w:ascii="Times New Roman" w:hAnsi="Times New Roman" w:cs="Times New Roman"/>
          <w:color w:val="000000"/>
          <w:sz w:val="24"/>
          <w:szCs w:val="24"/>
        </w:rPr>
      </w:pPr>
    </w:p>
    <w:p w14:paraId="6A4CB124" w14:textId="56F3B61E" w:rsidR="006C165A" w:rsidRPr="0066120F" w:rsidRDefault="006C165A" w:rsidP="006C165A">
      <w:pPr>
        <w:autoSpaceDE w:val="0"/>
        <w:autoSpaceDN w:val="0"/>
        <w:adjustRightInd w:val="0"/>
        <w:spacing w:after="0" w:line="360" w:lineRule="auto"/>
        <w:rPr>
          <w:rFonts w:ascii="Times New Roman" w:hAnsi="Times New Roman" w:cs="Times New Roman"/>
          <w:i/>
          <w:color w:val="000000"/>
          <w:sz w:val="16"/>
          <w:szCs w:val="16"/>
        </w:rPr>
      </w:pPr>
    </w:p>
    <w:p w14:paraId="5D76DDC4" w14:textId="77777777" w:rsidR="00D420F6" w:rsidRDefault="00D420F6" w:rsidP="006C165A">
      <w:pPr>
        <w:autoSpaceDE w:val="0"/>
        <w:autoSpaceDN w:val="0"/>
        <w:adjustRightInd w:val="0"/>
        <w:spacing w:after="0" w:line="360" w:lineRule="auto"/>
        <w:jc w:val="both"/>
        <w:rPr>
          <w:rFonts w:ascii="Times New Roman" w:hAnsi="Times New Roman" w:cs="Times New Roman"/>
          <w:i/>
          <w:color w:val="000000"/>
          <w:sz w:val="16"/>
          <w:szCs w:val="16"/>
        </w:rPr>
      </w:pPr>
    </w:p>
    <w:p w14:paraId="040C767F" w14:textId="77777777" w:rsidR="00D420F6" w:rsidRDefault="00D420F6" w:rsidP="006C165A">
      <w:pPr>
        <w:autoSpaceDE w:val="0"/>
        <w:autoSpaceDN w:val="0"/>
        <w:adjustRightInd w:val="0"/>
        <w:spacing w:after="0" w:line="360" w:lineRule="auto"/>
        <w:jc w:val="both"/>
        <w:rPr>
          <w:rFonts w:ascii="Times New Roman" w:hAnsi="Times New Roman" w:cs="Times New Roman"/>
          <w:i/>
          <w:color w:val="000000"/>
          <w:sz w:val="16"/>
          <w:szCs w:val="16"/>
        </w:rPr>
      </w:pPr>
    </w:p>
    <w:p w14:paraId="1B34B342" w14:textId="1296F48F" w:rsidR="006C165A" w:rsidRPr="0066120F" w:rsidRDefault="00D420F6" w:rsidP="006C165A">
      <w:pPr>
        <w:autoSpaceDE w:val="0"/>
        <w:autoSpaceDN w:val="0"/>
        <w:adjustRightInd w:val="0"/>
        <w:spacing w:after="0" w:line="360" w:lineRule="auto"/>
        <w:jc w:val="both"/>
        <w:rPr>
          <w:rFonts w:ascii="Times New Roman" w:hAnsi="Times New Roman" w:cs="Times New Roman"/>
          <w:i/>
          <w:color w:val="000000"/>
          <w:sz w:val="16"/>
          <w:szCs w:val="16"/>
        </w:rPr>
      </w:pPr>
      <w:r>
        <w:rPr>
          <w:rFonts w:ascii="Times New Roman" w:hAnsi="Times New Roman" w:cs="Times New Roman"/>
          <w:i/>
          <w:color w:val="000000"/>
          <w:sz w:val="16"/>
          <w:szCs w:val="16"/>
        </w:rPr>
        <w:t>*</w:t>
      </w:r>
      <w:proofErr w:type="spellStart"/>
      <w:proofErr w:type="gramStart"/>
      <w:r>
        <w:rPr>
          <w:rFonts w:ascii="Times New Roman" w:hAnsi="Times New Roman" w:cs="Times New Roman"/>
          <w:i/>
          <w:color w:val="000000"/>
          <w:sz w:val="16"/>
          <w:szCs w:val="16"/>
        </w:rPr>
        <w:t>sinificant</w:t>
      </w:r>
      <w:proofErr w:type="spellEnd"/>
      <w:r w:rsidR="006C165A" w:rsidRPr="0066120F">
        <w:rPr>
          <w:rFonts w:ascii="Times New Roman" w:hAnsi="Times New Roman" w:cs="Times New Roman"/>
          <w:i/>
          <w:color w:val="000000"/>
          <w:sz w:val="16"/>
          <w:szCs w:val="16"/>
        </w:rPr>
        <w:t>(</w:t>
      </w:r>
      <w:proofErr w:type="gramEnd"/>
      <w:r w:rsidR="006C165A" w:rsidRPr="0066120F">
        <w:rPr>
          <w:rFonts w:ascii="Times New Roman" w:hAnsi="Times New Roman" w:cs="Times New Roman"/>
          <w:i/>
          <w:color w:val="000000"/>
          <w:sz w:val="16"/>
          <w:szCs w:val="16"/>
        </w:rPr>
        <w:t>DHS-duration of hospital stay in days;</w:t>
      </w:r>
      <w:r w:rsidR="00EF2B64" w:rsidRPr="0066120F">
        <w:rPr>
          <w:rFonts w:ascii="Times New Roman" w:hAnsi="Times New Roman" w:cs="Times New Roman"/>
          <w:i/>
          <w:color w:val="000000"/>
          <w:sz w:val="16"/>
          <w:szCs w:val="16"/>
        </w:rPr>
        <w:t xml:space="preserve"> </w:t>
      </w:r>
      <w:r w:rsidR="006C165A" w:rsidRPr="0066120F">
        <w:rPr>
          <w:rFonts w:ascii="Times New Roman" w:hAnsi="Times New Roman" w:cs="Times New Roman"/>
          <w:i/>
          <w:color w:val="000000"/>
          <w:sz w:val="16"/>
          <w:szCs w:val="16"/>
        </w:rPr>
        <w:t>AOO-age of onset in years;</w:t>
      </w:r>
      <w:r w:rsidR="00EF2B64" w:rsidRPr="0066120F">
        <w:rPr>
          <w:rFonts w:ascii="Times New Roman" w:hAnsi="Times New Roman" w:cs="Times New Roman"/>
          <w:i/>
          <w:color w:val="000000"/>
          <w:sz w:val="16"/>
          <w:szCs w:val="16"/>
        </w:rPr>
        <w:t xml:space="preserve"> </w:t>
      </w:r>
      <w:r w:rsidR="006C165A" w:rsidRPr="0066120F">
        <w:rPr>
          <w:rFonts w:ascii="Times New Roman" w:hAnsi="Times New Roman" w:cs="Times New Roman"/>
          <w:i/>
          <w:color w:val="000000"/>
          <w:sz w:val="16"/>
          <w:szCs w:val="16"/>
        </w:rPr>
        <w:t>NOH-no. of hospitalizations;</w:t>
      </w:r>
      <w:r w:rsidR="00EF2B64" w:rsidRPr="0066120F">
        <w:rPr>
          <w:rFonts w:ascii="Times New Roman" w:hAnsi="Times New Roman" w:cs="Times New Roman"/>
          <w:i/>
          <w:color w:val="000000"/>
          <w:sz w:val="16"/>
          <w:szCs w:val="16"/>
        </w:rPr>
        <w:t xml:space="preserve"> </w:t>
      </w:r>
      <w:r w:rsidR="006C165A" w:rsidRPr="0066120F">
        <w:rPr>
          <w:rFonts w:ascii="Times New Roman" w:hAnsi="Times New Roman" w:cs="Times New Roman"/>
          <w:i/>
          <w:color w:val="000000"/>
          <w:sz w:val="16"/>
          <w:szCs w:val="16"/>
        </w:rPr>
        <w:t>DOI-duration of illness in months)</w:t>
      </w:r>
    </w:p>
    <w:p w14:paraId="0CAC18C3" w14:textId="77777777" w:rsidR="0066120F" w:rsidRPr="0066120F" w:rsidRDefault="0066120F" w:rsidP="006C165A">
      <w:pPr>
        <w:autoSpaceDE w:val="0"/>
        <w:autoSpaceDN w:val="0"/>
        <w:adjustRightInd w:val="0"/>
        <w:spacing w:after="0" w:line="360" w:lineRule="auto"/>
        <w:jc w:val="both"/>
        <w:rPr>
          <w:rFonts w:ascii="Times New Roman" w:hAnsi="Times New Roman" w:cs="Times New Roman"/>
          <w:i/>
          <w:color w:val="000000"/>
          <w:sz w:val="16"/>
          <w:szCs w:val="16"/>
        </w:rPr>
      </w:pPr>
    </w:p>
    <w:p w14:paraId="44C75ED5" w14:textId="77777777" w:rsidR="00585BB3" w:rsidRDefault="00585BB3" w:rsidP="00092813">
      <w:pPr>
        <w:spacing w:after="0" w:line="360" w:lineRule="auto"/>
        <w:jc w:val="both"/>
        <w:rPr>
          <w:rFonts w:ascii="Times New Roman" w:hAnsi="Times New Roman" w:cs="Times New Roman"/>
          <w:sz w:val="24"/>
          <w:szCs w:val="24"/>
        </w:rPr>
      </w:pPr>
    </w:p>
    <w:p w14:paraId="741DC2A6" w14:textId="77777777" w:rsidR="00585BB3" w:rsidRDefault="00585BB3" w:rsidP="00092813">
      <w:pPr>
        <w:spacing w:after="0" w:line="360" w:lineRule="auto"/>
        <w:jc w:val="both"/>
        <w:rPr>
          <w:rFonts w:ascii="Times New Roman" w:hAnsi="Times New Roman" w:cs="Times New Roman"/>
          <w:sz w:val="24"/>
          <w:szCs w:val="24"/>
        </w:rPr>
      </w:pPr>
    </w:p>
    <w:p w14:paraId="2B0AB8EB" w14:textId="7D0F35AE" w:rsidR="00F1194A" w:rsidRPr="00B52548" w:rsidRDefault="00F1194A" w:rsidP="00092813">
      <w:pPr>
        <w:spacing w:after="0" w:line="360" w:lineRule="auto"/>
        <w:jc w:val="both"/>
        <w:rPr>
          <w:rFonts w:ascii="Times New Roman" w:hAnsi="Times New Roman" w:cs="Times New Roman"/>
          <w:sz w:val="24"/>
          <w:szCs w:val="24"/>
        </w:rPr>
      </w:pPr>
      <w:r w:rsidRPr="00B52548">
        <w:rPr>
          <w:rFonts w:ascii="Times New Roman" w:hAnsi="Times New Roman" w:cs="Times New Roman"/>
          <w:sz w:val="24"/>
          <w:szCs w:val="24"/>
        </w:rPr>
        <w:t>Figure</w:t>
      </w:r>
      <w:r w:rsidR="007F22D9">
        <w:rPr>
          <w:rFonts w:ascii="Times New Roman" w:hAnsi="Times New Roman" w:cs="Times New Roman"/>
          <w:sz w:val="24"/>
          <w:szCs w:val="24"/>
        </w:rPr>
        <w:t>1</w:t>
      </w:r>
      <w:r w:rsidRPr="00B52548">
        <w:rPr>
          <w:rFonts w:ascii="Times New Roman" w:hAnsi="Times New Roman" w:cs="Times New Roman"/>
          <w:sz w:val="24"/>
          <w:szCs w:val="24"/>
        </w:rPr>
        <w:t>: Mood Symptoms</w:t>
      </w:r>
    </w:p>
    <w:p w14:paraId="1F1F0FFC" w14:textId="64CEBF98" w:rsidR="006C165A" w:rsidRPr="00B52548" w:rsidRDefault="00DB2E1F" w:rsidP="006C165A">
      <w:pPr>
        <w:autoSpaceDE w:val="0"/>
        <w:autoSpaceDN w:val="0"/>
        <w:adjustRightInd w:val="0"/>
        <w:spacing w:before="120" w:after="0" w:line="360" w:lineRule="auto"/>
        <w:ind w:firstLine="720"/>
        <w:jc w:val="both"/>
        <w:rPr>
          <w:rFonts w:ascii="Times New Roman" w:hAnsi="Times New Roman" w:cs="Times New Roman"/>
          <w:color w:val="000000"/>
          <w:sz w:val="24"/>
          <w:szCs w:val="24"/>
        </w:rPr>
      </w:pPr>
      <w:r w:rsidRPr="00B52548">
        <w:rPr>
          <w:rFonts w:ascii="Times New Roman" w:hAnsi="Times New Roman" w:cs="Times New Roman"/>
          <w:noProof/>
          <w:sz w:val="24"/>
          <w:szCs w:val="24"/>
        </w:rPr>
        <w:drawing>
          <wp:inline distT="0" distB="0" distL="0" distR="0" wp14:anchorId="6A99252C" wp14:editId="35EA86EB">
            <wp:extent cx="2682240" cy="1425055"/>
            <wp:effectExtent l="0" t="0" r="3810" b="381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2902" cy="1590107"/>
                    </a:xfrm>
                    <a:prstGeom prst="rect">
                      <a:avLst/>
                    </a:prstGeom>
                    <a:noFill/>
                  </pic:spPr>
                </pic:pic>
              </a:graphicData>
            </a:graphic>
          </wp:inline>
        </w:drawing>
      </w:r>
    </w:p>
    <w:p w14:paraId="5E173352" w14:textId="35E029B0" w:rsidR="00E733EA" w:rsidRPr="0066120F" w:rsidRDefault="006C165A" w:rsidP="00DB2E1F">
      <w:pPr>
        <w:spacing w:after="0" w:line="360" w:lineRule="auto"/>
        <w:jc w:val="both"/>
        <w:rPr>
          <w:rFonts w:ascii="Times New Roman" w:hAnsi="Times New Roman" w:cs="Times New Roman"/>
          <w:i/>
          <w:sz w:val="16"/>
          <w:szCs w:val="16"/>
        </w:rPr>
      </w:pPr>
      <w:r w:rsidRPr="0066120F">
        <w:rPr>
          <w:rFonts w:ascii="Times New Roman" w:hAnsi="Times New Roman" w:cs="Times New Roman"/>
          <w:i/>
          <w:sz w:val="16"/>
          <w:szCs w:val="16"/>
        </w:rPr>
        <w:t>YMRS1-YMRS score at discharge (p=0.066),</w:t>
      </w:r>
      <w:r w:rsidR="002C6FFD" w:rsidRPr="0066120F">
        <w:rPr>
          <w:rFonts w:ascii="Times New Roman" w:hAnsi="Times New Roman" w:cs="Times New Roman"/>
          <w:i/>
          <w:sz w:val="16"/>
          <w:szCs w:val="16"/>
        </w:rPr>
        <w:t xml:space="preserve"> </w:t>
      </w:r>
      <w:r w:rsidRPr="0066120F">
        <w:rPr>
          <w:rFonts w:ascii="Times New Roman" w:hAnsi="Times New Roman" w:cs="Times New Roman"/>
          <w:i/>
          <w:sz w:val="16"/>
          <w:szCs w:val="16"/>
        </w:rPr>
        <w:t>YMRS2-YMRS score at 3rd month follow up(p=0.017</w:t>
      </w:r>
      <w:r w:rsidR="00B3730F" w:rsidRPr="0066120F">
        <w:rPr>
          <w:rFonts w:ascii="Times New Roman" w:hAnsi="Times New Roman" w:cs="Times New Roman"/>
          <w:i/>
          <w:sz w:val="16"/>
          <w:szCs w:val="16"/>
        </w:rPr>
        <w:t>); YMRS</w:t>
      </w:r>
      <w:r w:rsidRPr="0066120F">
        <w:rPr>
          <w:rFonts w:ascii="Times New Roman" w:hAnsi="Times New Roman" w:cs="Times New Roman"/>
          <w:i/>
          <w:sz w:val="16"/>
          <w:szCs w:val="16"/>
        </w:rPr>
        <w:t>3-</w:t>
      </w:r>
      <w:proofErr w:type="gramStart"/>
      <w:r w:rsidRPr="0066120F">
        <w:rPr>
          <w:rFonts w:ascii="Times New Roman" w:hAnsi="Times New Roman" w:cs="Times New Roman"/>
          <w:i/>
          <w:sz w:val="16"/>
          <w:szCs w:val="16"/>
        </w:rPr>
        <w:t>YMRS  at</w:t>
      </w:r>
      <w:proofErr w:type="gramEnd"/>
      <w:r w:rsidRPr="0066120F">
        <w:rPr>
          <w:rFonts w:ascii="Times New Roman" w:hAnsi="Times New Roman" w:cs="Times New Roman"/>
          <w:i/>
          <w:sz w:val="16"/>
          <w:szCs w:val="16"/>
        </w:rPr>
        <w:t xml:space="preserve"> 6th month follow up(p=0.001)</w:t>
      </w:r>
    </w:p>
    <w:p w14:paraId="6C795791" w14:textId="77777777" w:rsidR="00B52548" w:rsidRDefault="00B52548" w:rsidP="00AF5FEF">
      <w:pPr>
        <w:spacing w:before="120" w:after="0" w:line="360" w:lineRule="auto"/>
        <w:rPr>
          <w:rFonts w:ascii="Times New Roman" w:hAnsi="Times New Roman" w:cs="Times New Roman"/>
          <w:sz w:val="24"/>
          <w:szCs w:val="24"/>
        </w:rPr>
      </w:pPr>
    </w:p>
    <w:p w14:paraId="260D371A" w14:textId="77777777" w:rsidR="00585BB3" w:rsidRDefault="00585BB3" w:rsidP="00AF5FEF">
      <w:pPr>
        <w:spacing w:before="120" w:after="0" w:line="360" w:lineRule="auto"/>
        <w:rPr>
          <w:rFonts w:ascii="Times New Roman" w:hAnsi="Times New Roman" w:cs="Times New Roman"/>
          <w:sz w:val="24"/>
          <w:szCs w:val="24"/>
        </w:rPr>
      </w:pPr>
    </w:p>
    <w:p w14:paraId="170999A0" w14:textId="77777777" w:rsidR="00585BB3" w:rsidRDefault="00585BB3" w:rsidP="00AF5FEF">
      <w:pPr>
        <w:spacing w:before="120" w:after="0" w:line="360" w:lineRule="auto"/>
        <w:rPr>
          <w:rFonts w:ascii="Times New Roman" w:hAnsi="Times New Roman" w:cs="Times New Roman"/>
          <w:sz w:val="24"/>
          <w:szCs w:val="24"/>
        </w:rPr>
      </w:pPr>
    </w:p>
    <w:p w14:paraId="3F82BE83" w14:textId="77777777" w:rsidR="00585BB3" w:rsidRDefault="00585BB3" w:rsidP="00AF5FEF">
      <w:pPr>
        <w:spacing w:before="120" w:after="0" w:line="360" w:lineRule="auto"/>
        <w:rPr>
          <w:rFonts w:ascii="Times New Roman" w:hAnsi="Times New Roman" w:cs="Times New Roman"/>
          <w:sz w:val="24"/>
          <w:szCs w:val="24"/>
        </w:rPr>
      </w:pPr>
    </w:p>
    <w:p w14:paraId="6B280C84" w14:textId="77777777" w:rsidR="00585BB3" w:rsidRDefault="00585BB3" w:rsidP="00AF5FEF">
      <w:pPr>
        <w:spacing w:before="120" w:after="0" w:line="360" w:lineRule="auto"/>
        <w:rPr>
          <w:rFonts w:ascii="Times New Roman" w:hAnsi="Times New Roman" w:cs="Times New Roman"/>
          <w:sz w:val="24"/>
          <w:szCs w:val="24"/>
        </w:rPr>
      </w:pPr>
    </w:p>
    <w:p w14:paraId="560B78E0" w14:textId="15D36DCD" w:rsidR="00DB2E1F" w:rsidRPr="00B52548" w:rsidRDefault="00F1194A" w:rsidP="00AF5FEF">
      <w:pPr>
        <w:spacing w:before="120" w:after="0" w:line="360" w:lineRule="auto"/>
        <w:rPr>
          <w:rFonts w:ascii="Times New Roman" w:hAnsi="Times New Roman" w:cs="Times New Roman"/>
          <w:sz w:val="24"/>
          <w:szCs w:val="24"/>
        </w:rPr>
      </w:pPr>
      <w:r w:rsidRPr="00B52548">
        <w:rPr>
          <w:rFonts w:ascii="Times New Roman" w:hAnsi="Times New Roman" w:cs="Times New Roman"/>
          <w:sz w:val="24"/>
          <w:szCs w:val="24"/>
        </w:rPr>
        <w:lastRenderedPageBreak/>
        <w:t xml:space="preserve">Figure </w:t>
      </w:r>
      <w:r w:rsidR="00112BAF">
        <w:rPr>
          <w:rFonts w:ascii="Times New Roman" w:hAnsi="Times New Roman" w:cs="Times New Roman"/>
          <w:sz w:val="24"/>
          <w:szCs w:val="24"/>
        </w:rPr>
        <w:t>2</w:t>
      </w:r>
      <w:r w:rsidRPr="00B52548">
        <w:rPr>
          <w:rFonts w:ascii="Times New Roman" w:hAnsi="Times New Roman" w:cs="Times New Roman"/>
          <w:sz w:val="24"/>
          <w:szCs w:val="24"/>
        </w:rPr>
        <w:t>: GAF Score</w:t>
      </w:r>
    </w:p>
    <w:p w14:paraId="3EC814D1" w14:textId="77777777" w:rsidR="00A956B1" w:rsidRDefault="00A956B1" w:rsidP="00DB2E1F">
      <w:pPr>
        <w:spacing w:before="120" w:after="0" w:line="360" w:lineRule="auto"/>
        <w:rPr>
          <w:rFonts w:ascii="Times New Roman" w:hAnsi="Times New Roman" w:cs="Times New Roman"/>
          <w:sz w:val="24"/>
          <w:szCs w:val="24"/>
        </w:rPr>
      </w:pPr>
      <w:r w:rsidRPr="00B52548">
        <w:rPr>
          <w:rFonts w:ascii="Times New Roman" w:hAnsi="Times New Roman" w:cs="Times New Roman"/>
          <w:noProof/>
          <w:sz w:val="24"/>
          <w:szCs w:val="24"/>
        </w:rPr>
        <w:drawing>
          <wp:inline distT="0" distB="0" distL="0" distR="0" wp14:anchorId="1EB80DB9" wp14:editId="78B684F7">
            <wp:extent cx="2931250" cy="1761998"/>
            <wp:effectExtent l="0" t="0" r="254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6490" cy="1783181"/>
                    </a:xfrm>
                    <a:prstGeom prst="rect">
                      <a:avLst/>
                    </a:prstGeom>
                    <a:noFill/>
                  </pic:spPr>
                </pic:pic>
              </a:graphicData>
            </a:graphic>
          </wp:inline>
        </w:drawing>
      </w:r>
    </w:p>
    <w:p w14:paraId="2CB56BAE" w14:textId="2CF1CC4B" w:rsidR="006C165A" w:rsidRPr="00A956B1" w:rsidRDefault="006C165A" w:rsidP="00DB2E1F">
      <w:pPr>
        <w:spacing w:before="120" w:after="0" w:line="360" w:lineRule="auto"/>
        <w:rPr>
          <w:rFonts w:ascii="Times New Roman" w:hAnsi="Times New Roman" w:cs="Times New Roman"/>
          <w:sz w:val="24"/>
          <w:szCs w:val="24"/>
        </w:rPr>
      </w:pPr>
      <w:r w:rsidRPr="00A956B1">
        <w:rPr>
          <w:rFonts w:ascii="Times New Roman" w:hAnsi="Times New Roman" w:cs="Times New Roman"/>
          <w:i/>
          <w:sz w:val="16"/>
          <w:szCs w:val="16"/>
        </w:rPr>
        <w:t>(GAF1-GAF at discharge,</w:t>
      </w:r>
      <w:r w:rsidR="00414B02" w:rsidRPr="00A956B1">
        <w:rPr>
          <w:rFonts w:ascii="Times New Roman" w:hAnsi="Times New Roman" w:cs="Times New Roman"/>
          <w:i/>
          <w:sz w:val="16"/>
          <w:szCs w:val="16"/>
        </w:rPr>
        <w:t xml:space="preserve"> </w:t>
      </w:r>
      <w:r w:rsidRPr="00A956B1">
        <w:rPr>
          <w:rFonts w:ascii="Times New Roman" w:hAnsi="Times New Roman" w:cs="Times New Roman"/>
          <w:i/>
          <w:sz w:val="16"/>
          <w:szCs w:val="16"/>
        </w:rPr>
        <w:t>GAF2-GAF score at 3rd month follow up;</w:t>
      </w:r>
      <w:r w:rsidR="00414B02" w:rsidRPr="00A956B1">
        <w:rPr>
          <w:rFonts w:ascii="Times New Roman" w:hAnsi="Times New Roman" w:cs="Times New Roman"/>
          <w:i/>
          <w:sz w:val="16"/>
          <w:szCs w:val="16"/>
        </w:rPr>
        <w:t xml:space="preserve"> </w:t>
      </w:r>
      <w:r w:rsidRPr="00A956B1">
        <w:rPr>
          <w:rFonts w:ascii="Times New Roman" w:hAnsi="Times New Roman" w:cs="Times New Roman"/>
          <w:i/>
          <w:sz w:val="16"/>
          <w:szCs w:val="16"/>
        </w:rPr>
        <w:t>GAF3-</w:t>
      </w:r>
      <w:r w:rsidR="002C6FFD" w:rsidRPr="00A956B1">
        <w:rPr>
          <w:rFonts w:ascii="Times New Roman" w:hAnsi="Times New Roman" w:cs="Times New Roman"/>
          <w:i/>
          <w:sz w:val="16"/>
          <w:szCs w:val="16"/>
        </w:rPr>
        <w:t xml:space="preserve"> </w:t>
      </w:r>
      <w:r w:rsidR="00B3730F" w:rsidRPr="00A956B1">
        <w:rPr>
          <w:rFonts w:ascii="Times New Roman" w:hAnsi="Times New Roman" w:cs="Times New Roman"/>
          <w:i/>
          <w:sz w:val="16"/>
          <w:szCs w:val="16"/>
        </w:rPr>
        <w:t>GAF at</w:t>
      </w:r>
      <w:r w:rsidRPr="00A956B1">
        <w:rPr>
          <w:rFonts w:ascii="Times New Roman" w:hAnsi="Times New Roman" w:cs="Times New Roman"/>
          <w:i/>
          <w:sz w:val="16"/>
          <w:szCs w:val="16"/>
        </w:rPr>
        <w:t xml:space="preserve"> 6th month follow</w:t>
      </w:r>
      <w:r w:rsidRPr="00A956B1">
        <w:rPr>
          <w:rFonts w:ascii="Times New Roman" w:hAnsi="Times New Roman" w:cs="Times New Roman"/>
          <w:sz w:val="16"/>
          <w:szCs w:val="16"/>
        </w:rPr>
        <w:t xml:space="preserve"> </w:t>
      </w:r>
      <w:proofErr w:type="gramStart"/>
      <w:r w:rsidRPr="00A956B1">
        <w:rPr>
          <w:rFonts w:ascii="Times New Roman" w:hAnsi="Times New Roman" w:cs="Times New Roman"/>
          <w:sz w:val="16"/>
          <w:szCs w:val="16"/>
        </w:rPr>
        <w:t>up)There</w:t>
      </w:r>
      <w:proofErr w:type="gramEnd"/>
      <w:r w:rsidRPr="00A956B1">
        <w:rPr>
          <w:rFonts w:ascii="Times New Roman" w:hAnsi="Times New Roman" w:cs="Times New Roman"/>
          <w:sz w:val="16"/>
          <w:szCs w:val="16"/>
        </w:rPr>
        <w:t xml:space="preserve"> is significant difference in GAF SCORE between groups at discharge (p value=0.000) and 6</w:t>
      </w:r>
      <w:r w:rsidRPr="00A956B1">
        <w:rPr>
          <w:rFonts w:ascii="Times New Roman" w:hAnsi="Times New Roman" w:cs="Times New Roman"/>
          <w:sz w:val="16"/>
          <w:szCs w:val="16"/>
          <w:vertAlign w:val="superscript"/>
        </w:rPr>
        <w:t>th</w:t>
      </w:r>
      <w:r w:rsidR="00503148" w:rsidRPr="00A956B1">
        <w:rPr>
          <w:rFonts w:ascii="Times New Roman" w:hAnsi="Times New Roman" w:cs="Times New Roman"/>
          <w:sz w:val="16"/>
          <w:szCs w:val="16"/>
        </w:rPr>
        <w:t xml:space="preserve"> </w:t>
      </w:r>
      <w:r w:rsidRPr="00A956B1">
        <w:rPr>
          <w:rFonts w:ascii="Times New Roman" w:hAnsi="Times New Roman" w:cs="Times New Roman"/>
          <w:sz w:val="16"/>
          <w:szCs w:val="16"/>
        </w:rPr>
        <w:t>month follow up(p value=0.003).</w:t>
      </w:r>
    </w:p>
    <w:p w14:paraId="06807B47" w14:textId="77777777" w:rsidR="00AF5FEF" w:rsidRPr="00B52548" w:rsidRDefault="00AF5FEF" w:rsidP="00644369">
      <w:pPr>
        <w:spacing w:after="0" w:line="360" w:lineRule="auto"/>
        <w:jc w:val="both"/>
        <w:rPr>
          <w:rFonts w:ascii="Times New Roman" w:hAnsi="Times New Roman" w:cs="Times New Roman"/>
          <w:sz w:val="24"/>
          <w:szCs w:val="24"/>
        </w:rPr>
      </w:pPr>
    </w:p>
    <w:p w14:paraId="75FC9DB2" w14:textId="77777777" w:rsidR="00585BB3" w:rsidRDefault="00585BB3" w:rsidP="00644369">
      <w:pPr>
        <w:spacing w:after="0" w:line="360" w:lineRule="auto"/>
        <w:jc w:val="both"/>
        <w:rPr>
          <w:rFonts w:ascii="Times New Roman" w:hAnsi="Times New Roman" w:cs="Times New Roman"/>
          <w:sz w:val="24"/>
          <w:szCs w:val="24"/>
        </w:rPr>
      </w:pPr>
    </w:p>
    <w:p w14:paraId="219C6031" w14:textId="77777777" w:rsidR="00585BB3" w:rsidRDefault="00585BB3" w:rsidP="00644369">
      <w:pPr>
        <w:spacing w:after="0" w:line="360" w:lineRule="auto"/>
        <w:jc w:val="both"/>
        <w:rPr>
          <w:rFonts w:ascii="Times New Roman" w:hAnsi="Times New Roman" w:cs="Times New Roman"/>
          <w:sz w:val="24"/>
          <w:szCs w:val="24"/>
        </w:rPr>
      </w:pPr>
    </w:p>
    <w:p w14:paraId="646634E8" w14:textId="77777777" w:rsidR="00585BB3" w:rsidRDefault="00585BB3" w:rsidP="00644369">
      <w:pPr>
        <w:spacing w:after="0" w:line="360" w:lineRule="auto"/>
        <w:jc w:val="both"/>
        <w:rPr>
          <w:rFonts w:ascii="Times New Roman" w:hAnsi="Times New Roman" w:cs="Times New Roman"/>
          <w:sz w:val="24"/>
          <w:szCs w:val="24"/>
        </w:rPr>
      </w:pPr>
    </w:p>
    <w:p w14:paraId="54DAEAD7" w14:textId="77777777" w:rsidR="00585BB3" w:rsidRDefault="00585BB3" w:rsidP="00644369">
      <w:pPr>
        <w:spacing w:after="0" w:line="360" w:lineRule="auto"/>
        <w:jc w:val="both"/>
        <w:rPr>
          <w:rFonts w:ascii="Times New Roman" w:hAnsi="Times New Roman" w:cs="Times New Roman"/>
          <w:sz w:val="24"/>
          <w:szCs w:val="24"/>
        </w:rPr>
      </w:pPr>
    </w:p>
    <w:p w14:paraId="49052451" w14:textId="3F63059B" w:rsidR="006C165A" w:rsidRPr="00B52548" w:rsidRDefault="00EC73F0" w:rsidP="00644369">
      <w:pPr>
        <w:spacing w:after="0" w:line="360" w:lineRule="auto"/>
        <w:jc w:val="both"/>
        <w:rPr>
          <w:rFonts w:ascii="Times New Roman" w:hAnsi="Times New Roman" w:cs="Times New Roman"/>
          <w:sz w:val="24"/>
          <w:szCs w:val="24"/>
        </w:rPr>
      </w:pPr>
      <w:r w:rsidRPr="00B52548">
        <w:rPr>
          <w:rFonts w:ascii="Times New Roman" w:hAnsi="Times New Roman" w:cs="Times New Roman"/>
          <w:sz w:val="24"/>
          <w:szCs w:val="24"/>
        </w:rPr>
        <w:t xml:space="preserve">Table </w:t>
      </w:r>
      <w:r w:rsidR="00086FF0">
        <w:rPr>
          <w:rFonts w:ascii="Times New Roman" w:hAnsi="Times New Roman" w:cs="Times New Roman"/>
          <w:sz w:val="24"/>
          <w:szCs w:val="24"/>
        </w:rPr>
        <w:t>2</w:t>
      </w:r>
      <w:r w:rsidRPr="00B52548">
        <w:rPr>
          <w:rFonts w:ascii="Times New Roman" w:hAnsi="Times New Roman" w:cs="Times New Roman"/>
          <w:sz w:val="24"/>
          <w:szCs w:val="24"/>
        </w:rPr>
        <w:t>: Group comparison of YMRS and GAF scores</w:t>
      </w:r>
    </w:p>
    <w:tbl>
      <w:tblPr>
        <w:tblStyle w:val="TableGrid"/>
        <w:tblW w:w="0" w:type="auto"/>
        <w:tblLook w:val="04A0" w:firstRow="1" w:lastRow="0" w:firstColumn="1" w:lastColumn="0" w:noHBand="0" w:noVBand="1"/>
      </w:tblPr>
      <w:tblGrid>
        <w:gridCol w:w="1081"/>
        <w:gridCol w:w="1350"/>
        <w:gridCol w:w="1350"/>
        <w:gridCol w:w="1082"/>
        <w:gridCol w:w="1082"/>
      </w:tblGrid>
      <w:tr w:rsidR="006C165A" w:rsidRPr="00B52548" w14:paraId="7232C012" w14:textId="77777777" w:rsidTr="006C293A">
        <w:trPr>
          <w:trHeight w:val="610"/>
        </w:trPr>
        <w:tc>
          <w:tcPr>
            <w:tcW w:w="1081" w:type="dxa"/>
          </w:tcPr>
          <w:p w14:paraId="654F153C" w14:textId="77777777" w:rsidR="006C165A" w:rsidRPr="00850B43" w:rsidRDefault="006C165A" w:rsidP="00F47D17">
            <w:pPr>
              <w:spacing w:line="360" w:lineRule="auto"/>
              <w:jc w:val="both"/>
            </w:pPr>
            <w:r w:rsidRPr="00850B43">
              <w:t>Variable</w:t>
            </w:r>
          </w:p>
        </w:tc>
        <w:tc>
          <w:tcPr>
            <w:tcW w:w="1081" w:type="dxa"/>
            <w:tcBorders>
              <w:bottom w:val="single" w:sz="4" w:space="0" w:color="auto"/>
            </w:tcBorders>
          </w:tcPr>
          <w:p w14:paraId="25EE8886" w14:textId="78AA6610" w:rsidR="006C165A" w:rsidRPr="00850B43" w:rsidRDefault="006C165A" w:rsidP="00F47D17">
            <w:pPr>
              <w:spacing w:line="360" w:lineRule="auto"/>
              <w:jc w:val="both"/>
            </w:pPr>
            <w:r w:rsidRPr="00850B43">
              <w:t>With psycho</w:t>
            </w:r>
            <w:r w:rsidR="007B797C">
              <w:t>tic features</w:t>
            </w:r>
          </w:p>
        </w:tc>
        <w:tc>
          <w:tcPr>
            <w:tcW w:w="1082" w:type="dxa"/>
          </w:tcPr>
          <w:p w14:paraId="4AF83B78" w14:textId="13FB980F" w:rsidR="006C165A" w:rsidRPr="00850B43" w:rsidRDefault="006C165A" w:rsidP="00F47D17">
            <w:pPr>
              <w:spacing w:line="360" w:lineRule="auto"/>
              <w:jc w:val="both"/>
            </w:pPr>
            <w:r w:rsidRPr="00850B43">
              <w:t>Without psych</w:t>
            </w:r>
            <w:r w:rsidR="007B797C">
              <w:t>otic features</w:t>
            </w:r>
          </w:p>
        </w:tc>
        <w:tc>
          <w:tcPr>
            <w:tcW w:w="1082" w:type="dxa"/>
          </w:tcPr>
          <w:p w14:paraId="300E4CAD" w14:textId="77777777" w:rsidR="006C165A" w:rsidRPr="00850B43" w:rsidRDefault="006C165A" w:rsidP="00F47D17">
            <w:pPr>
              <w:spacing w:line="360" w:lineRule="auto"/>
              <w:jc w:val="both"/>
            </w:pPr>
            <w:r w:rsidRPr="00850B43">
              <w:t>t value</w:t>
            </w:r>
          </w:p>
        </w:tc>
        <w:tc>
          <w:tcPr>
            <w:tcW w:w="1082" w:type="dxa"/>
          </w:tcPr>
          <w:p w14:paraId="2FA059C6" w14:textId="77777777" w:rsidR="006C165A" w:rsidRPr="00850B43" w:rsidRDefault="006C165A" w:rsidP="00F47D17">
            <w:pPr>
              <w:spacing w:line="360" w:lineRule="auto"/>
              <w:jc w:val="both"/>
            </w:pPr>
            <w:r w:rsidRPr="00850B43">
              <w:t>P value</w:t>
            </w:r>
          </w:p>
          <w:p w14:paraId="35A0BB00" w14:textId="77777777" w:rsidR="006C165A" w:rsidRPr="00850B43" w:rsidRDefault="006C165A" w:rsidP="00F47D17">
            <w:pPr>
              <w:spacing w:line="360" w:lineRule="auto"/>
              <w:jc w:val="both"/>
            </w:pPr>
            <w:r w:rsidRPr="00850B43">
              <w:t>(&lt;0.05*)</w:t>
            </w:r>
          </w:p>
        </w:tc>
      </w:tr>
      <w:tr w:rsidR="006C165A" w:rsidRPr="00B52548" w14:paraId="07CF5A8B" w14:textId="77777777" w:rsidTr="006C293A">
        <w:trPr>
          <w:trHeight w:val="305"/>
        </w:trPr>
        <w:tc>
          <w:tcPr>
            <w:tcW w:w="1081" w:type="dxa"/>
          </w:tcPr>
          <w:p w14:paraId="1FFF60E9" w14:textId="77777777" w:rsidR="006C165A" w:rsidRPr="00850B43" w:rsidRDefault="006C165A" w:rsidP="00F47D17">
            <w:pPr>
              <w:spacing w:line="360" w:lineRule="auto"/>
              <w:jc w:val="both"/>
            </w:pPr>
          </w:p>
        </w:tc>
        <w:tc>
          <w:tcPr>
            <w:tcW w:w="1081" w:type="dxa"/>
          </w:tcPr>
          <w:p w14:paraId="2335938D" w14:textId="77777777" w:rsidR="006C165A" w:rsidRPr="00850B43" w:rsidRDefault="006C165A" w:rsidP="00F47D17">
            <w:pPr>
              <w:spacing w:line="360" w:lineRule="auto"/>
              <w:jc w:val="both"/>
            </w:pPr>
            <w:r w:rsidRPr="00850B43">
              <w:t>MEAN(SD)</w:t>
            </w:r>
          </w:p>
        </w:tc>
        <w:tc>
          <w:tcPr>
            <w:tcW w:w="1082" w:type="dxa"/>
          </w:tcPr>
          <w:p w14:paraId="596A57F2" w14:textId="77777777" w:rsidR="006C165A" w:rsidRPr="00850B43" w:rsidRDefault="006C165A" w:rsidP="00F47D17">
            <w:pPr>
              <w:spacing w:line="360" w:lineRule="auto"/>
              <w:jc w:val="both"/>
            </w:pPr>
            <w:r w:rsidRPr="00850B43">
              <w:t>MEAN(SD)</w:t>
            </w:r>
          </w:p>
        </w:tc>
        <w:tc>
          <w:tcPr>
            <w:tcW w:w="1082" w:type="dxa"/>
          </w:tcPr>
          <w:p w14:paraId="5FBCC2F1" w14:textId="77777777" w:rsidR="006C165A" w:rsidRPr="00850B43" w:rsidRDefault="006C165A" w:rsidP="00F47D17">
            <w:pPr>
              <w:spacing w:line="360" w:lineRule="auto"/>
              <w:jc w:val="both"/>
            </w:pPr>
          </w:p>
        </w:tc>
        <w:tc>
          <w:tcPr>
            <w:tcW w:w="1082" w:type="dxa"/>
          </w:tcPr>
          <w:p w14:paraId="678F8432" w14:textId="77777777" w:rsidR="006C165A" w:rsidRPr="00850B43" w:rsidRDefault="006C165A" w:rsidP="00F47D17">
            <w:pPr>
              <w:spacing w:line="360" w:lineRule="auto"/>
              <w:jc w:val="both"/>
            </w:pPr>
          </w:p>
        </w:tc>
      </w:tr>
      <w:tr w:rsidR="006C165A" w:rsidRPr="00B52548" w14:paraId="6B10E24E" w14:textId="77777777" w:rsidTr="006C293A">
        <w:trPr>
          <w:trHeight w:val="305"/>
        </w:trPr>
        <w:tc>
          <w:tcPr>
            <w:tcW w:w="1081" w:type="dxa"/>
          </w:tcPr>
          <w:p w14:paraId="38D13AF2" w14:textId="77777777" w:rsidR="006C165A" w:rsidRPr="00850B43" w:rsidRDefault="006C165A" w:rsidP="00F47D17">
            <w:pPr>
              <w:spacing w:line="360" w:lineRule="auto"/>
              <w:jc w:val="both"/>
            </w:pPr>
            <w:r w:rsidRPr="00850B43">
              <w:t>YMRS 1</w:t>
            </w:r>
          </w:p>
        </w:tc>
        <w:tc>
          <w:tcPr>
            <w:tcW w:w="1081" w:type="dxa"/>
          </w:tcPr>
          <w:p w14:paraId="4DCF3572" w14:textId="77777777" w:rsidR="006C165A" w:rsidRPr="00850B43" w:rsidRDefault="006C165A" w:rsidP="00F47D17">
            <w:pPr>
              <w:spacing w:line="360" w:lineRule="auto"/>
              <w:jc w:val="both"/>
            </w:pPr>
            <w:r w:rsidRPr="00850B43">
              <w:t>6.95(3.823)</w:t>
            </w:r>
          </w:p>
        </w:tc>
        <w:tc>
          <w:tcPr>
            <w:tcW w:w="1082" w:type="dxa"/>
          </w:tcPr>
          <w:p w14:paraId="214246F5" w14:textId="77777777" w:rsidR="006C165A" w:rsidRPr="00850B43" w:rsidRDefault="006C165A" w:rsidP="00F47D17">
            <w:pPr>
              <w:spacing w:line="360" w:lineRule="auto"/>
              <w:jc w:val="both"/>
            </w:pPr>
            <w:r w:rsidRPr="00850B43">
              <w:t>5.41(3.500)</w:t>
            </w:r>
          </w:p>
        </w:tc>
        <w:tc>
          <w:tcPr>
            <w:tcW w:w="1082" w:type="dxa"/>
          </w:tcPr>
          <w:p w14:paraId="06A8F81A" w14:textId="77777777" w:rsidR="006C165A" w:rsidRPr="00850B43" w:rsidRDefault="006C165A" w:rsidP="00F47D17">
            <w:pPr>
              <w:spacing w:line="360" w:lineRule="auto"/>
              <w:jc w:val="both"/>
            </w:pPr>
            <w:r w:rsidRPr="00850B43">
              <w:t>1.866</w:t>
            </w:r>
          </w:p>
        </w:tc>
        <w:tc>
          <w:tcPr>
            <w:tcW w:w="1082" w:type="dxa"/>
          </w:tcPr>
          <w:p w14:paraId="1B42C1C8" w14:textId="77777777" w:rsidR="006C165A" w:rsidRPr="00850B43" w:rsidRDefault="006C165A" w:rsidP="00F47D17">
            <w:pPr>
              <w:spacing w:line="360" w:lineRule="auto"/>
              <w:jc w:val="both"/>
            </w:pPr>
            <w:r w:rsidRPr="00850B43">
              <w:t>0.066</w:t>
            </w:r>
          </w:p>
        </w:tc>
      </w:tr>
      <w:tr w:rsidR="006C165A" w:rsidRPr="00B52548" w14:paraId="317B2BA3" w14:textId="77777777" w:rsidTr="006C293A">
        <w:trPr>
          <w:trHeight w:val="305"/>
        </w:trPr>
        <w:tc>
          <w:tcPr>
            <w:tcW w:w="1081" w:type="dxa"/>
          </w:tcPr>
          <w:p w14:paraId="01C6C393" w14:textId="77777777" w:rsidR="006C165A" w:rsidRPr="00850B43" w:rsidRDefault="006C165A" w:rsidP="00F47D17">
            <w:pPr>
              <w:spacing w:line="360" w:lineRule="auto"/>
              <w:jc w:val="both"/>
            </w:pPr>
            <w:r w:rsidRPr="00850B43">
              <w:t>YMRS 2</w:t>
            </w:r>
          </w:p>
        </w:tc>
        <w:tc>
          <w:tcPr>
            <w:tcW w:w="1081" w:type="dxa"/>
          </w:tcPr>
          <w:p w14:paraId="41498DFB" w14:textId="77777777" w:rsidR="006C165A" w:rsidRPr="00850B43" w:rsidRDefault="006C165A" w:rsidP="00F47D17">
            <w:pPr>
              <w:spacing w:line="360" w:lineRule="auto"/>
              <w:jc w:val="both"/>
            </w:pPr>
            <w:r w:rsidRPr="00850B43">
              <w:t>4.34(3.113)</w:t>
            </w:r>
          </w:p>
        </w:tc>
        <w:tc>
          <w:tcPr>
            <w:tcW w:w="1082" w:type="dxa"/>
          </w:tcPr>
          <w:p w14:paraId="3DD8BD23" w14:textId="77777777" w:rsidR="006C165A" w:rsidRPr="00850B43" w:rsidRDefault="006C165A" w:rsidP="00F47D17">
            <w:pPr>
              <w:spacing w:line="360" w:lineRule="auto"/>
              <w:jc w:val="both"/>
            </w:pPr>
            <w:r w:rsidRPr="00850B43">
              <w:t>2.87(2.056)</w:t>
            </w:r>
          </w:p>
        </w:tc>
        <w:tc>
          <w:tcPr>
            <w:tcW w:w="1082" w:type="dxa"/>
          </w:tcPr>
          <w:p w14:paraId="3EDCC839" w14:textId="77777777" w:rsidR="006C165A" w:rsidRPr="00850B43" w:rsidRDefault="006C165A" w:rsidP="00F47D17">
            <w:pPr>
              <w:spacing w:line="360" w:lineRule="auto"/>
              <w:jc w:val="both"/>
            </w:pPr>
            <w:r w:rsidRPr="00850B43">
              <w:t>2.435</w:t>
            </w:r>
          </w:p>
        </w:tc>
        <w:tc>
          <w:tcPr>
            <w:tcW w:w="1082" w:type="dxa"/>
          </w:tcPr>
          <w:p w14:paraId="36FA0AC0" w14:textId="77777777" w:rsidR="006C165A" w:rsidRPr="00850B43" w:rsidRDefault="006C165A" w:rsidP="00F47D17">
            <w:pPr>
              <w:spacing w:line="360" w:lineRule="auto"/>
              <w:jc w:val="both"/>
            </w:pPr>
            <w:r w:rsidRPr="00850B43">
              <w:t>0.017*</w:t>
            </w:r>
          </w:p>
        </w:tc>
      </w:tr>
      <w:tr w:rsidR="006C165A" w:rsidRPr="00B52548" w14:paraId="2EDFF27A" w14:textId="77777777" w:rsidTr="006C293A">
        <w:trPr>
          <w:trHeight w:val="305"/>
        </w:trPr>
        <w:tc>
          <w:tcPr>
            <w:tcW w:w="1081" w:type="dxa"/>
          </w:tcPr>
          <w:p w14:paraId="5D45D56B" w14:textId="77777777" w:rsidR="006C165A" w:rsidRPr="00850B43" w:rsidRDefault="006C165A" w:rsidP="00F47D17">
            <w:pPr>
              <w:spacing w:line="360" w:lineRule="auto"/>
              <w:jc w:val="both"/>
            </w:pPr>
            <w:r w:rsidRPr="00850B43">
              <w:t>YMRS 3</w:t>
            </w:r>
          </w:p>
        </w:tc>
        <w:tc>
          <w:tcPr>
            <w:tcW w:w="1081" w:type="dxa"/>
          </w:tcPr>
          <w:p w14:paraId="5B195577" w14:textId="77777777" w:rsidR="006C165A" w:rsidRPr="00850B43" w:rsidRDefault="006C165A" w:rsidP="00F47D17">
            <w:pPr>
              <w:spacing w:line="360" w:lineRule="auto"/>
              <w:jc w:val="both"/>
            </w:pPr>
            <w:r w:rsidRPr="00850B43">
              <w:t>2.53(2.379)</w:t>
            </w:r>
          </w:p>
        </w:tc>
        <w:tc>
          <w:tcPr>
            <w:tcW w:w="1082" w:type="dxa"/>
          </w:tcPr>
          <w:p w14:paraId="75F0B023" w14:textId="77777777" w:rsidR="006C165A" w:rsidRPr="00850B43" w:rsidRDefault="006C165A" w:rsidP="00F47D17">
            <w:pPr>
              <w:spacing w:line="360" w:lineRule="auto"/>
              <w:jc w:val="both"/>
            </w:pPr>
            <w:r w:rsidRPr="00850B43">
              <w:t>1.05(1.184)</w:t>
            </w:r>
          </w:p>
        </w:tc>
        <w:tc>
          <w:tcPr>
            <w:tcW w:w="1082" w:type="dxa"/>
          </w:tcPr>
          <w:p w14:paraId="2DA21CDC" w14:textId="77777777" w:rsidR="006C165A" w:rsidRPr="00850B43" w:rsidRDefault="006C165A" w:rsidP="00F47D17">
            <w:pPr>
              <w:spacing w:line="360" w:lineRule="auto"/>
              <w:jc w:val="both"/>
            </w:pPr>
            <w:r w:rsidRPr="00850B43">
              <w:t>3.418</w:t>
            </w:r>
          </w:p>
        </w:tc>
        <w:tc>
          <w:tcPr>
            <w:tcW w:w="1082" w:type="dxa"/>
          </w:tcPr>
          <w:p w14:paraId="3F39FE5C" w14:textId="77777777" w:rsidR="006C165A" w:rsidRPr="00850B43" w:rsidRDefault="006C165A" w:rsidP="00F47D17">
            <w:pPr>
              <w:spacing w:line="360" w:lineRule="auto"/>
              <w:jc w:val="both"/>
            </w:pPr>
            <w:r w:rsidRPr="00850B43">
              <w:t>0.001*</w:t>
            </w:r>
          </w:p>
        </w:tc>
      </w:tr>
      <w:tr w:rsidR="006C165A" w:rsidRPr="00B52548" w14:paraId="63FE92C9" w14:textId="77777777" w:rsidTr="006C293A">
        <w:trPr>
          <w:trHeight w:val="305"/>
        </w:trPr>
        <w:tc>
          <w:tcPr>
            <w:tcW w:w="1081" w:type="dxa"/>
          </w:tcPr>
          <w:p w14:paraId="6066111A" w14:textId="77777777" w:rsidR="006C165A" w:rsidRPr="00850B43" w:rsidRDefault="006C165A" w:rsidP="00F47D17">
            <w:pPr>
              <w:spacing w:line="360" w:lineRule="auto"/>
              <w:jc w:val="both"/>
            </w:pPr>
            <w:r w:rsidRPr="00850B43">
              <w:t>GAF 1</w:t>
            </w:r>
          </w:p>
        </w:tc>
        <w:tc>
          <w:tcPr>
            <w:tcW w:w="1081" w:type="dxa"/>
          </w:tcPr>
          <w:p w14:paraId="46AB0A08" w14:textId="77777777" w:rsidR="006C165A" w:rsidRPr="00850B43" w:rsidRDefault="006C165A" w:rsidP="00F47D17">
            <w:pPr>
              <w:spacing w:line="360" w:lineRule="auto"/>
              <w:jc w:val="both"/>
            </w:pPr>
            <w:r w:rsidRPr="00850B43">
              <w:t>33.65(2.940)</w:t>
            </w:r>
          </w:p>
        </w:tc>
        <w:tc>
          <w:tcPr>
            <w:tcW w:w="1082" w:type="dxa"/>
          </w:tcPr>
          <w:p w14:paraId="2AACAADA" w14:textId="77777777" w:rsidR="006C165A" w:rsidRPr="00850B43" w:rsidRDefault="006C165A" w:rsidP="00F47D17">
            <w:pPr>
              <w:spacing w:line="360" w:lineRule="auto"/>
              <w:jc w:val="both"/>
            </w:pPr>
            <w:r w:rsidRPr="00850B43">
              <w:t>43.30(4.686)</w:t>
            </w:r>
          </w:p>
        </w:tc>
        <w:tc>
          <w:tcPr>
            <w:tcW w:w="1082" w:type="dxa"/>
          </w:tcPr>
          <w:p w14:paraId="3D232DC9" w14:textId="77777777" w:rsidR="006C165A" w:rsidRPr="00850B43" w:rsidRDefault="006C165A" w:rsidP="00F47D17">
            <w:pPr>
              <w:spacing w:line="360" w:lineRule="auto"/>
              <w:jc w:val="both"/>
            </w:pPr>
            <w:r w:rsidRPr="00850B43">
              <w:t>-11.033</w:t>
            </w:r>
          </w:p>
        </w:tc>
        <w:tc>
          <w:tcPr>
            <w:tcW w:w="1082" w:type="dxa"/>
          </w:tcPr>
          <w:p w14:paraId="09A04187" w14:textId="77777777" w:rsidR="006C165A" w:rsidRPr="00850B43" w:rsidRDefault="006C165A" w:rsidP="00F47D17">
            <w:pPr>
              <w:spacing w:line="360" w:lineRule="auto"/>
              <w:jc w:val="both"/>
            </w:pPr>
            <w:r w:rsidRPr="00850B43">
              <w:t>0.000*</w:t>
            </w:r>
          </w:p>
        </w:tc>
      </w:tr>
      <w:tr w:rsidR="006C165A" w:rsidRPr="00B52548" w14:paraId="5C008737" w14:textId="77777777" w:rsidTr="006C293A">
        <w:trPr>
          <w:trHeight w:val="305"/>
        </w:trPr>
        <w:tc>
          <w:tcPr>
            <w:tcW w:w="1081" w:type="dxa"/>
          </w:tcPr>
          <w:p w14:paraId="38521272" w14:textId="77777777" w:rsidR="006C165A" w:rsidRPr="00850B43" w:rsidRDefault="006C165A" w:rsidP="00F47D17">
            <w:pPr>
              <w:spacing w:line="360" w:lineRule="auto"/>
              <w:jc w:val="both"/>
            </w:pPr>
            <w:r w:rsidRPr="00850B43">
              <w:t>GAF2</w:t>
            </w:r>
          </w:p>
        </w:tc>
        <w:tc>
          <w:tcPr>
            <w:tcW w:w="1081" w:type="dxa"/>
          </w:tcPr>
          <w:p w14:paraId="3F9A68B2" w14:textId="77777777" w:rsidR="006C165A" w:rsidRPr="00850B43" w:rsidRDefault="006C165A" w:rsidP="00F47D17">
            <w:pPr>
              <w:spacing w:line="360" w:lineRule="auto"/>
              <w:jc w:val="both"/>
            </w:pPr>
            <w:r w:rsidRPr="00850B43">
              <w:t>68.58(11.986)</w:t>
            </w:r>
          </w:p>
        </w:tc>
        <w:tc>
          <w:tcPr>
            <w:tcW w:w="1082" w:type="dxa"/>
          </w:tcPr>
          <w:p w14:paraId="21AF40DE" w14:textId="77777777" w:rsidR="006C165A" w:rsidRPr="00850B43" w:rsidRDefault="006C165A" w:rsidP="00F47D17">
            <w:pPr>
              <w:spacing w:line="360" w:lineRule="auto"/>
              <w:jc w:val="both"/>
            </w:pPr>
            <w:r w:rsidRPr="00850B43">
              <w:t>73.92(12.474)</w:t>
            </w:r>
          </w:p>
        </w:tc>
        <w:tc>
          <w:tcPr>
            <w:tcW w:w="1082" w:type="dxa"/>
          </w:tcPr>
          <w:p w14:paraId="5B585412" w14:textId="77777777" w:rsidR="006C165A" w:rsidRPr="00850B43" w:rsidRDefault="006C165A" w:rsidP="00F47D17">
            <w:pPr>
              <w:spacing w:line="360" w:lineRule="auto"/>
              <w:jc w:val="both"/>
            </w:pPr>
            <w:r w:rsidRPr="00850B43">
              <w:t>-1.916</w:t>
            </w:r>
          </w:p>
        </w:tc>
        <w:tc>
          <w:tcPr>
            <w:tcW w:w="1082" w:type="dxa"/>
          </w:tcPr>
          <w:p w14:paraId="669E250E" w14:textId="77777777" w:rsidR="006C165A" w:rsidRPr="00850B43" w:rsidRDefault="006C165A" w:rsidP="00F47D17">
            <w:pPr>
              <w:spacing w:line="360" w:lineRule="auto"/>
              <w:jc w:val="both"/>
            </w:pPr>
            <w:r w:rsidRPr="00850B43">
              <w:t>0.059</w:t>
            </w:r>
          </w:p>
        </w:tc>
      </w:tr>
      <w:tr w:rsidR="006C165A" w:rsidRPr="00B52548" w14:paraId="20A52CE7" w14:textId="77777777" w:rsidTr="006C293A">
        <w:trPr>
          <w:trHeight w:val="305"/>
        </w:trPr>
        <w:tc>
          <w:tcPr>
            <w:tcW w:w="1081" w:type="dxa"/>
          </w:tcPr>
          <w:p w14:paraId="1B502FDC" w14:textId="77777777" w:rsidR="006C165A" w:rsidRPr="00850B43" w:rsidRDefault="006C165A" w:rsidP="00F47D17">
            <w:pPr>
              <w:spacing w:line="360" w:lineRule="auto"/>
              <w:jc w:val="both"/>
            </w:pPr>
            <w:r w:rsidRPr="00850B43">
              <w:t>GAF3</w:t>
            </w:r>
          </w:p>
        </w:tc>
        <w:tc>
          <w:tcPr>
            <w:tcW w:w="1081" w:type="dxa"/>
          </w:tcPr>
          <w:p w14:paraId="6E48CD75" w14:textId="77777777" w:rsidR="006C165A" w:rsidRPr="00850B43" w:rsidRDefault="006C165A" w:rsidP="00F47D17">
            <w:pPr>
              <w:spacing w:line="360" w:lineRule="auto"/>
              <w:jc w:val="both"/>
            </w:pPr>
            <w:r w:rsidRPr="00850B43">
              <w:t>80.13(9.029)</w:t>
            </w:r>
          </w:p>
        </w:tc>
        <w:tc>
          <w:tcPr>
            <w:tcW w:w="1082" w:type="dxa"/>
          </w:tcPr>
          <w:p w14:paraId="79FEE6BB" w14:textId="77777777" w:rsidR="006C165A" w:rsidRPr="00850B43" w:rsidRDefault="006C165A" w:rsidP="00F47D17">
            <w:pPr>
              <w:spacing w:line="360" w:lineRule="auto"/>
              <w:jc w:val="both"/>
            </w:pPr>
            <w:r w:rsidRPr="00850B43">
              <w:t>87.97(13.062)</w:t>
            </w:r>
          </w:p>
        </w:tc>
        <w:tc>
          <w:tcPr>
            <w:tcW w:w="1082" w:type="dxa"/>
          </w:tcPr>
          <w:p w14:paraId="42E67D0F" w14:textId="77777777" w:rsidR="006C165A" w:rsidRPr="00850B43" w:rsidRDefault="006C165A" w:rsidP="00F47D17">
            <w:pPr>
              <w:spacing w:line="360" w:lineRule="auto"/>
              <w:jc w:val="both"/>
            </w:pPr>
            <w:r w:rsidRPr="00850B43">
              <w:t>-3.057</w:t>
            </w:r>
          </w:p>
        </w:tc>
        <w:tc>
          <w:tcPr>
            <w:tcW w:w="1082" w:type="dxa"/>
          </w:tcPr>
          <w:p w14:paraId="1F587C4C" w14:textId="77777777" w:rsidR="006C165A" w:rsidRPr="00850B43" w:rsidRDefault="006C165A" w:rsidP="00F47D17">
            <w:pPr>
              <w:spacing w:line="360" w:lineRule="auto"/>
              <w:jc w:val="both"/>
            </w:pPr>
            <w:r w:rsidRPr="00850B43">
              <w:t>0.003*</w:t>
            </w:r>
          </w:p>
        </w:tc>
      </w:tr>
    </w:tbl>
    <w:p w14:paraId="7BB863B8" w14:textId="073CA9D7" w:rsidR="006C165A" w:rsidRPr="00850B43" w:rsidRDefault="006C165A" w:rsidP="006C165A">
      <w:pPr>
        <w:spacing w:after="0" w:line="360" w:lineRule="auto"/>
        <w:jc w:val="both"/>
        <w:rPr>
          <w:rFonts w:ascii="Times New Roman" w:hAnsi="Times New Roman" w:cs="Times New Roman"/>
          <w:i/>
          <w:sz w:val="16"/>
          <w:szCs w:val="16"/>
        </w:rPr>
      </w:pPr>
      <w:r w:rsidRPr="00850B43">
        <w:rPr>
          <w:rFonts w:ascii="Times New Roman" w:hAnsi="Times New Roman" w:cs="Times New Roman"/>
          <w:i/>
          <w:sz w:val="16"/>
          <w:szCs w:val="16"/>
        </w:rPr>
        <w:t>*</w:t>
      </w:r>
      <w:r w:rsidR="00B3730F" w:rsidRPr="00850B43">
        <w:rPr>
          <w:rFonts w:ascii="Times New Roman" w:hAnsi="Times New Roman" w:cs="Times New Roman"/>
          <w:i/>
          <w:sz w:val="16"/>
          <w:szCs w:val="16"/>
        </w:rPr>
        <w:t>Significant</w:t>
      </w:r>
    </w:p>
    <w:p w14:paraId="73D40758" w14:textId="77777777" w:rsidR="00B52548" w:rsidRDefault="00B52548" w:rsidP="006C165A">
      <w:pPr>
        <w:pStyle w:val="Heading1"/>
        <w:spacing w:before="120" w:beforeAutospacing="0" w:after="0" w:afterAutospacing="0" w:line="360" w:lineRule="auto"/>
        <w:rPr>
          <w:b w:val="0"/>
          <w:bCs w:val="0"/>
          <w:sz w:val="24"/>
          <w:szCs w:val="24"/>
        </w:rPr>
      </w:pPr>
    </w:p>
    <w:p w14:paraId="25ECBD77" w14:textId="77777777" w:rsidR="00585BB3" w:rsidRDefault="00585BB3" w:rsidP="006C165A">
      <w:pPr>
        <w:pStyle w:val="Heading1"/>
        <w:spacing w:before="120" w:beforeAutospacing="0" w:after="0" w:afterAutospacing="0" w:line="360" w:lineRule="auto"/>
        <w:rPr>
          <w:b w:val="0"/>
          <w:bCs w:val="0"/>
          <w:sz w:val="24"/>
          <w:szCs w:val="24"/>
        </w:rPr>
      </w:pPr>
    </w:p>
    <w:p w14:paraId="1031AEE9" w14:textId="77777777" w:rsidR="00585BB3" w:rsidRDefault="00585BB3" w:rsidP="006C165A">
      <w:pPr>
        <w:pStyle w:val="Heading1"/>
        <w:spacing w:before="120" w:beforeAutospacing="0" w:after="0" w:afterAutospacing="0" w:line="360" w:lineRule="auto"/>
        <w:rPr>
          <w:b w:val="0"/>
          <w:bCs w:val="0"/>
          <w:sz w:val="24"/>
          <w:szCs w:val="24"/>
        </w:rPr>
      </w:pPr>
    </w:p>
    <w:p w14:paraId="43D93478" w14:textId="77777777" w:rsidR="00585BB3" w:rsidRDefault="00585BB3" w:rsidP="006C165A">
      <w:pPr>
        <w:pStyle w:val="Heading1"/>
        <w:spacing w:before="120" w:beforeAutospacing="0" w:after="0" w:afterAutospacing="0" w:line="360" w:lineRule="auto"/>
        <w:rPr>
          <w:b w:val="0"/>
          <w:bCs w:val="0"/>
          <w:sz w:val="24"/>
          <w:szCs w:val="24"/>
        </w:rPr>
      </w:pPr>
    </w:p>
    <w:p w14:paraId="73A94257" w14:textId="77777777" w:rsidR="00585BB3" w:rsidRDefault="00585BB3" w:rsidP="006C165A">
      <w:pPr>
        <w:pStyle w:val="Heading1"/>
        <w:spacing w:before="120" w:beforeAutospacing="0" w:after="0" w:afterAutospacing="0" w:line="360" w:lineRule="auto"/>
        <w:rPr>
          <w:b w:val="0"/>
          <w:bCs w:val="0"/>
          <w:sz w:val="24"/>
          <w:szCs w:val="24"/>
        </w:rPr>
      </w:pPr>
    </w:p>
    <w:p w14:paraId="784BAFE0" w14:textId="7EBEAABE" w:rsidR="00E7502B" w:rsidRPr="00B52548" w:rsidRDefault="00EC73F0" w:rsidP="006C165A">
      <w:pPr>
        <w:pStyle w:val="Heading1"/>
        <w:spacing w:before="120" w:beforeAutospacing="0" w:after="0" w:afterAutospacing="0" w:line="360" w:lineRule="auto"/>
        <w:rPr>
          <w:b w:val="0"/>
          <w:bCs w:val="0"/>
          <w:sz w:val="24"/>
          <w:szCs w:val="24"/>
        </w:rPr>
      </w:pPr>
      <w:r w:rsidRPr="00B52548">
        <w:rPr>
          <w:b w:val="0"/>
          <w:bCs w:val="0"/>
          <w:sz w:val="24"/>
          <w:szCs w:val="24"/>
        </w:rPr>
        <w:lastRenderedPageBreak/>
        <w:t xml:space="preserve">Table </w:t>
      </w:r>
      <w:r w:rsidR="009D0D35">
        <w:rPr>
          <w:b w:val="0"/>
          <w:bCs w:val="0"/>
          <w:sz w:val="24"/>
          <w:szCs w:val="24"/>
        </w:rPr>
        <w:t>3:</w:t>
      </w:r>
      <w:r w:rsidRPr="00B52548">
        <w:rPr>
          <w:b w:val="0"/>
          <w:bCs w:val="0"/>
          <w:i/>
          <w:sz w:val="24"/>
          <w:szCs w:val="24"/>
        </w:rPr>
        <w:t xml:space="preserve"> </w:t>
      </w:r>
      <w:r w:rsidRPr="00B52548">
        <w:rPr>
          <w:b w:val="0"/>
          <w:bCs w:val="0"/>
          <w:sz w:val="24"/>
          <w:szCs w:val="24"/>
        </w:rPr>
        <w:t>Group comparison of scores for cognitive tests</w:t>
      </w:r>
    </w:p>
    <w:tbl>
      <w:tblPr>
        <w:tblStyle w:val="TableGrid"/>
        <w:tblW w:w="0" w:type="auto"/>
        <w:tblInd w:w="-5" w:type="dxa"/>
        <w:tblLook w:val="04A0" w:firstRow="1" w:lastRow="0" w:firstColumn="1" w:lastColumn="0" w:noHBand="0" w:noVBand="1"/>
      </w:tblPr>
      <w:tblGrid>
        <w:gridCol w:w="1023"/>
        <w:gridCol w:w="950"/>
        <w:gridCol w:w="980"/>
        <w:gridCol w:w="960"/>
        <w:gridCol w:w="980"/>
        <w:gridCol w:w="752"/>
        <w:gridCol w:w="880"/>
      </w:tblGrid>
      <w:tr w:rsidR="006C165A" w:rsidRPr="00B52548" w14:paraId="1A1ABCB1" w14:textId="77777777" w:rsidTr="00E7502B">
        <w:trPr>
          <w:trHeight w:val="580"/>
        </w:trPr>
        <w:tc>
          <w:tcPr>
            <w:tcW w:w="1023" w:type="dxa"/>
            <w:noWrap/>
            <w:hideMark/>
          </w:tcPr>
          <w:p w14:paraId="574CB4FC" w14:textId="77777777" w:rsidR="006C165A" w:rsidRPr="007C48CD" w:rsidRDefault="006C165A" w:rsidP="00F47D17">
            <w:pPr>
              <w:spacing w:before="120" w:line="360" w:lineRule="auto"/>
            </w:pPr>
            <w:r w:rsidRPr="007C48CD">
              <w:t>Variable</w:t>
            </w:r>
          </w:p>
        </w:tc>
        <w:tc>
          <w:tcPr>
            <w:tcW w:w="1930" w:type="dxa"/>
            <w:gridSpan w:val="2"/>
            <w:noWrap/>
            <w:hideMark/>
          </w:tcPr>
          <w:p w14:paraId="34C81385" w14:textId="6C4F03D0" w:rsidR="006C165A" w:rsidRPr="007C48CD" w:rsidRDefault="006C165A" w:rsidP="00F47D17">
            <w:pPr>
              <w:spacing w:before="120" w:line="360" w:lineRule="auto"/>
              <w:jc w:val="center"/>
            </w:pPr>
            <w:r w:rsidRPr="007C48CD">
              <w:t>With Psycho</w:t>
            </w:r>
            <w:r w:rsidR="007B797C">
              <w:t>tic features</w:t>
            </w:r>
          </w:p>
        </w:tc>
        <w:tc>
          <w:tcPr>
            <w:tcW w:w="1940" w:type="dxa"/>
            <w:gridSpan w:val="2"/>
            <w:noWrap/>
            <w:hideMark/>
          </w:tcPr>
          <w:p w14:paraId="7AA1A556" w14:textId="7B53D669" w:rsidR="006C165A" w:rsidRPr="007C48CD" w:rsidRDefault="006C165A" w:rsidP="00F47D17">
            <w:pPr>
              <w:spacing w:before="120" w:line="360" w:lineRule="auto"/>
              <w:jc w:val="center"/>
            </w:pPr>
            <w:r w:rsidRPr="007C48CD">
              <w:t>Without Psycho</w:t>
            </w:r>
            <w:r w:rsidR="007B797C">
              <w:t>tic features</w:t>
            </w:r>
          </w:p>
        </w:tc>
        <w:tc>
          <w:tcPr>
            <w:tcW w:w="752" w:type="dxa"/>
          </w:tcPr>
          <w:p w14:paraId="2650D426" w14:textId="77777777" w:rsidR="006C165A" w:rsidRPr="007C48CD" w:rsidRDefault="006C165A" w:rsidP="00F47D17">
            <w:pPr>
              <w:spacing w:before="120" w:line="360" w:lineRule="auto"/>
              <w:jc w:val="center"/>
            </w:pPr>
            <w:r w:rsidRPr="007C48CD">
              <w:t>t value</w:t>
            </w:r>
          </w:p>
        </w:tc>
        <w:tc>
          <w:tcPr>
            <w:tcW w:w="880" w:type="dxa"/>
            <w:noWrap/>
            <w:hideMark/>
          </w:tcPr>
          <w:p w14:paraId="05E76BAF" w14:textId="77777777" w:rsidR="006C165A" w:rsidRPr="007C48CD" w:rsidRDefault="006C165A" w:rsidP="00F47D17">
            <w:pPr>
              <w:spacing w:before="120" w:line="360" w:lineRule="auto"/>
              <w:jc w:val="center"/>
            </w:pPr>
            <w:r w:rsidRPr="007C48CD">
              <w:t>p value</w:t>
            </w:r>
          </w:p>
        </w:tc>
      </w:tr>
      <w:tr w:rsidR="006C165A" w:rsidRPr="00B52548" w14:paraId="7CC9AC73" w14:textId="77777777" w:rsidTr="00E7502B">
        <w:trPr>
          <w:trHeight w:val="442"/>
        </w:trPr>
        <w:tc>
          <w:tcPr>
            <w:tcW w:w="1023" w:type="dxa"/>
            <w:noWrap/>
            <w:hideMark/>
          </w:tcPr>
          <w:p w14:paraId="0EC59AE9" w14:textId="77777777" w:rsidR="006C165A" w:rsidRPr="007C48CD" w:rsidRDefault="006C165A" w:rsidP="00F47D17">
            <w:pPr>
              <w:spacing w:before="120" w:line="360" w:lineRule="auto"/>
            </w:pPr>
          </w:p>
        </w:tc>
        <w:tc>
          <w:tcPr>
            <w:tcW w:w="950" w:type="dxa"/>
            <w:noWrap/>
            <w:hideMark/>
          </w:tcPr>
          <w:p w14:paraId="4DD4907F" w14:textId="77777777" w:rsidR="006C165A" w:rsidRPr="007C48CD" w:rsidRDefault="006C165A" w:rsidP="00F47D17">
            <w:pPr>
              <w:spacing w:before="120" w:line="360" w:lineRule="auto"/>
              <w:jc w:val="center"/>
            </w:pPr>
            <w:r w:rsidRPr="007C48CD">
              <w:t>MEAN</w:t>
            </w:r>
          </w:p>
        </w:tc>
        <w:tc>
          <w:tcPr>
            <w:tcW w:w="980" w:type="dxa"/>
            <w:noWrap/>
            <w:hideMark/>
          </w:tcPr>
          <w:p w14:paraId="6EB82649" w14:textId="77777777" w:rsidR="006C165A" w:rsidRPr="007C48CD" w:rsidRDefault="006C165A" w:rsidP="00F47D17">
            <w:pPr>
              <w:spacing w:before="120" w:line="360" w:lineRule="auto"/>
              <w:jc w:val="center"/>
            </w:pPr>
            <w:r w:rsidRPr="007C48CD">
              <w:t>SD</w:t>
            </w:r>
          </w:p>
        </w:tc>
        <w:tc>
          <w:tcPr>
            <w:tcW w:w="960" w:type="dxa"/>
            <w:noWrap/>
            <w:hideMark/>
          </w:tcPr>
          <w:p w14:paraId="29A1A9AB" w14:textId="77777777" w:rsidR="006C165A" w:rsidRPr="007C48CD" w:rsidRDefault="006C165A" w:rsidP="00F47D17">
            <w:pPr>
              <w:spacing w:before="120" w:line="360" w:lineRule="auto"/>
              <w:jc w:val="center"/>
            </w:pPr>
            <w:r w:rsidRPr="007C48CD">
              <w:t>MEAN</w:t>
            </w:r>
          </w:p>
        </w:tc>
        <w:tc>
          <w:tcPr>
            <w:tcW w:w="980" w:type="dxa"/>
            <w:noWrap/>
            <w:hideMark/>
          </w:tcPr>
          <w:p w14:paraId="39F6D55F" w14:textId="77777777" w:rsidR="006C165A" w:rsidRPr="007C48CD" w:rsidRDefault="006C165A" w:rsidP="00F47D17">
            <w:pPr>
              <w:spacing w:before="120" w:line="360" w:lineRule="auto"/>
              <w:jc w:val="center"/>
            </w:pPr>
            <w:r w:rsidRPr="007C48CD">
              <w:t>SD</w:t>
            </w:r>
          </w:p>
        </w:tc>
        <w:tc>
          <w:tcPr>
            <w:tcW w:w="752" w:type="dxa"/>
          </w:tcPr>
          <w:p w14:paraId="4D646598" w14:textId="77777777" w:rsidR="006C165A" w:rsidRPr="007C48CD" w:rsidRDefault="006C165A" w:rsidP="00F47D17">
            <w:pPr>
              <w:spacing w:before="120" w:line="360" w:lineRule="auto"/>
              <w:jc w:val="center"/>
            </w:pPr>
          </w:p>
        </w:tc>
        <w:tc>
          <w:tcPr>
            <w:tcW w:w="880" w:type="dxa"/>
            <w:noWrap/>
            <w:hideMark/>
          </w:tcPr>
          <w:p w14:paraId="1F9A4805" w14:textId="77777777" w:rsidR="006C165A" w:rsidRPr="007C48CD" w:rsidRDefault="006C165A" w:rsidP="00F47D17">
            <w:pPr>
              <w:spacing w:before="120" w:line="360" w:lineRule="auto"/>
              <w:jc w:val="center"/>
            </w:pPr>
            <w:r w:rsidRPr="007C48CD">
              <w:t>&lt;0.05*</w:t>
            </w:r>
          </w:p>
        </w:tc>
      </w:tr>
      <w:tr w:rsidR="006C165A" w:rsidRPr="00B52548" w14:paraId="5C1E0673" w14:textId="77777777" w:rsidTr="00E7502B">
        <w:trPr>
          <w:trHeight w:hRule="exact" w:val="475"/>
        </w:trPr>
        <w:tc>
          <w:tcPr>
            <w:tcW w:w="1023" w:type="dxa"/>
            <w:noWrap/>
            <w:hideMark/>
          </w:tcPr>
          <w:p w14:paraId="5FE9A04D" w14:textId="77777777" w:rsidR="006C165A" w:rsidRPr="007C48CD" w:rsidRDefault="006C165A" w:rsidP="00F47D17">
            <w:pPr>
              <w:spacing w:before="120" w:line="360" w:lineRule="auto"/>
            </w:pPr>
            <w:r w:rsidRPr="007C48CD">
              <w:t>TMA1</w:t>
            </w:r>
          </w:p>
        </w:tc>
        <w:tc>
          <w:tcPr>
            <w:tcW w:w="950" w:type="dxa"/>
            <w:noWrap/>
            <w:hideMark/>
          </w:tcPr>
          <w:p w14:paraId="20B792CD" w14:textId="77777777" w:rsidR="006C165A" w:rsidRPr="007C48CD" w:rsidRDefault="006C165A" w:rsidP="00F47D17">
            <w:pPr>
              <w:spacing w:before="120" w:line="360" w:lineRule="auto"/>
              <w:jc w:val="center"/>
            </w:pPr>
            <w:r w:rsidRPr="007C48CD">
              <w:t>92.05</w:t>
            </w:r>
          </w:p>
        </w:tc>
        <w:tc>
          <w:tcPr>
            <w:tcW w:w="980" w:type="dxa"/>
            <w:noWrap/>
            <w:hideMark/>
          </w:tcPr>
          <w:p w14:paraId="3D877A5F" w14:textId="77777777" w:rsidR="006C165A" w:rsidRPr="007C48CD" w:rsidRDefault="006C165A" w:rsidP="00F47D17">
            <w:pPr>
              <w:spacing w:before="120" w:line="360" w:lineRule="auto"/>
              <w:jc w:val="center"/>
            </w:pPr>
            <w:r w:rsidRPr="007C48CD">
              <w:t>63.735</w:t>
            </w:r>
          </w:p>
        </w:tc>
        <w:tc>
          <w:tcPr>
            <w:tcW w:w="960" w:type="dxa"/>
            <w:noWrap/>
            <w:hideMark/>
          </w:tcPr>
          <w:p w14:paraId="116E5552" w14:textId="77777777" w:rsidR="006C165A" w:rsidRPr="007C48CD" w:rsidRDefault="006C165A" w:rsidP="00F47D17">
            <w:pPr>
              <w:spacing w:before="120" w:line="360" w:lineRule="auto"/>
              <w:jc w:val="center"/>
            </w:pPr>
            <w:r w:rsidRPr="007C48CD">
              <w:t>91.75</w:t>
            </w:r>
          </w:p>
        </w:tc>
        <w:tc>
          <w:tcPr>
            <w:tcW w:w="980" w:type="dxa"/>
            <w:noWrap/>
            <w:hideMark/>
          </w:tcPr>
          <w:p w14:paraId="50CBF737" w14:textId="77777777" w:rsidR="006C165A" w:rsidRPr="007C48CD" w:rsidRDefault="006C165A" w:rsidP="00F47D17">
            <w:pPr>
              <w:spacing w:before="120" w:line="360" w:lineRule="auto"/>
              <w:jc w:val="center"/>
            </w:pPr>
            <w:r w:rsidRPr="007C48CD">
              <w:t>46.278</w:t>
            </w:r>
          </w:p>
        </w:tc>
        <w:tc>
          <w:tcPr>
            <w:tcW w:w="752" w:type="dxa"/>
          </w:tcPr>
          <w:p w14:paraId="3BD7DD4F" w14:textId="77777777" w:rsidR="006C165A" w:rsidRPr="007C48CD" w:rsidRDefault="006C165A" w:rsidP="00F47D17">
            <w:pPr>
              <w:spacing w:before="120" w:line="360" w:lineRule="auto"/>
              <w:jc w:val="center"/>
            </w:pPr>
            <w:r w:rsidRPr="007C48CD">
              <w:t>0.024</w:t>
            </w:r>
          </w:p>
        </w:tc>
        <w:tc>
          <w:tcPr>
            <w:tcW w:w="880" w:type="dxa"/>
            <w:noWrap/>
            <w:hideMark/>
          </w:tcPr>
          <w:p w14:paraId="635201DA" w14:textId="77777777" w:rsidR="006C165A" w:rsidRPr="007C48CD" w:rsidRDefault="006C165A" w:rsidP="00F47D17">
            <w:pPr>
              <w:spacing w:before="120" w:line="360" w:lineRule="auto"/>
              <w:jc w:val="center"/>
            </w:pPr>
            <w:r w:rsidRPr="007C48CD">
              <w:t>0.981</w:t>
            </w:r>
          </w:p>
        </w:tc>
      </w:tr>
      <w:tr w:rsidR="006C165A" w:rsidRPr="00B52548" w14:paraId="03571609" w14:textId="77777777" w:rsidTr="00E7502B">
        <w:trPr>
          <w:trHeight w:hRule="exact" w:val="467"/>
        </w:trPr>
        <w:tc>
          <w:tcPr>
            <w:tcW w:w="1023" w:type="dxa"/>
            <w:noWrap/>
            <w:hideMark/>
          </w:tcPr>
          <w:p w14:paraId="06EA4618" w14:textId="77777777" w:rsidR="006C165A" w:rsidRPr="007C48CD" w:rsidRDefault="006C165A" w:rsidP="00F47D17">
            <w:pPr>
              <w:spacing w:before="120" w:line="360" w:lineRule="auto"/>
            </w:pPr>
            <w:r w:rsidRPr="007C48CD">
              <w:t>TMA2</w:t>
            </w:r>
          </w:p>
        </w:tc>
        <w:tc>
          <w:tcPr>
            <w:tcW w:w="950" w:type="dxa"/>
            <w:noWrap/>
            <w:hideMark/>
          </w:tcPr>
          <w:p w14:paraId="648FB1CD" w14:textId="77777777" w:rsidR="006C165A" w:rsidRPr="007C48CD" w:rsidRDefault="006C165A" w:rsidP="00F47D17">
            <w:pPr>
              <w:spacing w:before="120" w:line="360" w:lineRule="auto"/>
              <w:jc w:val="center"/>
            </w:pPr>
            <w:r w:rsidRPr="007C48CD">
              <w:t>79.26</w:t>
            </w:r>
          </w:p>
        </w:tc>
        <w:tc>
          <w:tcPr>
            <w:tcW w:w="980" w:type="dxa"/>
            <w:noWrap/>
            <w:hideMark/>
          </w:tcPr>
          <w:p w14:paraId="77A4F051" w14:textId="77777777" w:rsidR="006C165A" w:rsidRPr="007C48CD" w:rsidRDefault="006C165A" w:rsidP="00F47D17">
            <w:pPr>
              <w:spacing w:before="120" w:line="360" w:lineRule="auto"/>
              <w:jc w:val="center"/>
            </w:pPr>
            <w:r w:rsidRPr="007C48CD">
              <w:t>48.346</w:t>
            </w:r>
          </w:p>
        </w:tc>
        <w:tc>
          <w:tcPr>
            <w:tcW w:w="960" w:type="dxa"/>
            <w:noWrap/>
            <w:hideMark/>
          </w:tcPr>
          <w:p w14:paraId="0DA45461" w14:textId="77777777" w:rsidR="006C165A" w:rsidRPr="007C48CD" w:rsidRDefault="006C165A" w:rsidP="00F47D17">
            <w:pPr>
              <w:spacing w:before="120" w:line="360" w:lineRule="auto"/>
              <w:jc w:val="center"/>
            </w:pPr>
            <w:r w:rsidRPr="007C48CD">
              <w:t>83.77</w:t>
            </w:r>
          </w:p>
        </w:tc>
        <w:tc>
          <w:tcPr>
            <w:tcW w:w="980" w:type="dxa"/>
            <w:noWrap/>
            <w:hideMark/>
          </w:tcPr>
          <w:p w14:paraId="7445D7F0" w14:textId="77777777" w:rsidR="006C165A" w:rsidRPr="007C48CD" w:rsidRDefault="006C165A" w:rsidP="00F47D17">
            <w:pPr>
              <w:spacing w:before="120" w:line="360" w:lineRule="auto"/>
              <w:jc w:val="center"/>
            </w:pPr>
            <w:r w:rsidRPr="007C48CD">
              <w:t>43.707</w:t>
            </w:r>
          </w:p>
        </w:tc>
        <w:tc>
          <w:tcPr>
            <w:tcW w:w="752" w:type="dxa"/>
          </w:tcPr>
          <w:p w14:paraId="367A1610" w14:textId="77777777" w:rsidR="006C165A" w:rsidRPr="007C48CD" w:rsidRDefault="006C165A" w:rsidP="00F47D17">
            <w:pPr>
              <w:spacing w:before="120" w:line="360" w:lineRule="auto"/>
              <w:jc w:val="center"/>
            </w:pPr>
            <w:r w:rsidRPr="007C48CD">
              <w:t>-0.429</w:t>
            </w:r>
          </w:p>
        </w:tc>
        <w:tc>
          <w:tcPr>
            <w:tcW w:w="880" w:type="dxa"/>
            <w:noWrap/>
            <w:hideMark/>
          </w:tcPr>
          <w:p w14:paraId="04AD31AB" w14:textId="77777777" w:rsidR="006C165A" w:rsidRPr="007C48CD" w:rsidRDefault="006C165A" w:rsidP="00F47D17">
            <w:pPr>
              <w:spacing w:before="120" w:line="360" w:lineRule="auto"/>
              <w:jc w:val="center"/>
            </w:pPr>
            <w:r w:rsidRPr="007C48CD">
              <w:t>0.669</w:t>
            </w:r>
          </w:p>
        </w:tc>
      </w:tr>
      <w:tr w:rsidR="006C165A" w:rsidRPr="00B52548" w14:paraId="6AA4350B" w14:textId="77777777" w:rsidTr="00E7502B">
        <w:trPr>
          <w:trHeight w:hRule="exact" w:val="459"/>
        </w:trPr>
        <w:tc>
          <w:tcPr>
            <w:tcW w:w="1023" w:type="dxa"/>
            <w:noWrap/>
            <w:hideMark/>
          </w:tcPr>
          <w:p w14:paraId="3EF5117D" w14:textId="77777777" w:rsidR="006C165A" w:rsidRPr="007C48CD" w:rsidRDefault="006C165A" w:rsidP="00F47D17">
            <w:pPr>
              <w:spacing w:before="120" w:line="360" w:lineRule="auto"/>
            </w:pPr>
            <w:r w:rsidRPr="007C48CD">
              <w:t>TMA3</w:t>
            </w:r>
          </w:p>
        </w:tc>
        <w:tc>
          <w:tcPr>
            <w:tcW w:w="950" w:type="dxa"/>
            <w:noWrap/>
            <w:hideMark/>
          </w:tcPr>
          <w:p w14:paraId="5AACC76B" w14:textId="77777777" w:rsidR="006C165A" w:rsidRPr="007C48CD" w:rsidRDefault="006C165A" w:rsidP="00F47D17">
            <w:pPr>
              <w:spacing w:before="120" w:line="360" w:lineRule="auto"/>
              <w:jc w:val="center"/>
            </w:pPr>
            <w:r w:rsidRPr="007C48CD">
              <w:t>73.58</w:t>
            </w:r>
          </w:p>
        </w:tc>
        <w:tc>
          <w:tcPr>
            <w:tcW w:w="980" w:type="dxa"/>
            <w:noWrap/>
            <w:hideMark/>
          </w:tcPr>
          <w:p w14:paraId="316B3A00" w14:textId="77777777" w:rsidR="006C165A" w:rsidRPr="007C48CD" w:rsidRDefault="006C165A" w:rsidP="00F47D17">
            <w:pPr>
              <w:spacing w:before="120" w:line="360" w:lineRule="auto"/>
              <w:jc w:val="center"/>
            </w:pPr>
            <w:r w:rsidRPr="007C48CD">
              <w:t>40.248</w:t>
            </w:r>
          </w:p>
        </w:tc>
        <w:tc>
          <w:tcPr>
            <w:tcW w:w="960" w:type="dxa"/>
            <w:noWrap/>
            <w:hideMark/>
          </w:tcPr>
          <w:p w14:paraId="799CDB94" w14:textId="77777777" w:rsidR="006C165A" w:rsidRPr="007C48CD" w:rsidRDefault="006C165A" w:rsidP="00F47D17">
            <w:pPr>
              <w:spacing w:before="120" w:line="360" w:lineRule="auto"/>
              <w:jc w:val="center"/>
            </w:pPr>
            <w:r w:rsidRPr="007C48CD">
              <w:t>64.97</w:t>
            </w:r>
          </w:p>
        </w:tc>
        <w:tc>
          <w:tcPr>
            <w:tcW w:w="980" w:type="dxa"/>
            <w:noWrap/>
            <w:hideMark/>
          </w:tcPr>
          <w:p w14:paraId="11A0A4D8" w14:textId="77777777" w:rsidR="006C165A" w:rsidRPr="007C48CD" w:rsidRDefault="006C165A" w:rsidP="00F47D17">
            <w:pPr>
              <w:spacing w:before="120" w:line="360" w:lineRule="auto"/>
              <w:jc w:val="center"/>
            </w:pPr>
            <w:r w:rsidRPr="007C48CD">
              <w:t>31.032</w:t>
            </w:r>
          </w:p>
        </w:tc>
        <w:tc>
          <w:tcPr>
            <w:tcW w:w="752" w:type="dxa"/>
          </w:tcPr>
          <w:p w14:paraId="5AE0B17B" w14:textId="77777777" w:rsidR="006C165A" w:rsidRPr="007C48CD" w:rsidRDefault="006C165A" w:rsidP="00F47D17">
            <w:pPr>
              <w:spacing w:before="120" w:line="360" w:lineRule="auto"/>
              <w:jc w:val="center"/>
            </w:pPr>
            <w:r w:rsidRPr="007C48CD">
              <w:t>1.052</w:t>
            </w:r>
          </w:p>
        </w:tc>
        <w:tc>
          <w:tcPr>
            <w:tcW w:w="880" w:type="dxa"/>
            <w:noWrap/>
            <w:hideMark/>
          </w:tcPr>
          <w:p w14:paraId="7905B2AB" w14:textId="77777777" w:rsidR="006C165A" w:rsidRPr="007C48CD" w:rsidRDefault="006C165A" w:rsidP="00F47D17">
            <w:pPr>
              <w:spacing w:before="120" w:line="360" w:lineRule="auto"/>
              <w:jc w:val="center"/>
            </w:pPr>
            <w:r w:rsidRPr="007C48CD">
              <w:t>0.296</w:t>
            </w:r>
          </w:p>
        </w:tc>
      </w:tr>
      <w:tr w:rsidR="006C165A" w:rsidRPr="00B52548" w14:paraId="45EF48F7" w14:textId="77777777" w:rsidTr="00E7502B">
        <w:trPr>
          <w:trHeight w:hRule="exact" w:val="467"/>
        </w:trPr>
        <w:tc>
          <w:tcPr>
            <w:tcW w:w="1023" w:type="dxa"/>
            <w:noWrap/>
            <w:hideMark/>
          </w:tcPr>
          <w:p w14:paraId="3893C8A1" w14:textId="77777777" w:rsidR="006C165A" w:rsidRPr="007C48CD" w:rsidRDefault="006C165A" w:rsidP="00F47D17">
            <w:pPr>
              <w:spacing w:before="120" w:line="360" w:lineRule="auto"/>
            </w:pPr>
            <w:r w:rsidRPr="007C48CD">
              <w:t>TMB1</w:t>
            </w:r>
          </w:p>
        </w:tc>
        <w:tc>
          <w:tcPr>
            <w:tcW w:w="950" w:type="dxa"/>
            <w:noWrap/>
            <w:hideMark/>
          </w:tcPr>
          <w:p w14:paraId="188495F8" w14:textId="77777777" w:rsidR="006C165A" w:rsidRPr="007C48CD" w:rsidRDefault="006C165A" w:rsidP="00F47D17">
            <w:pPr>
              <w:spacing w:before="120" w:line="360" w:lineRule="auto"/>
              <w:jc w:val="center"/>
            </w:pPr>
            <w:r w:rsidRPr="007C48CD">
              <w:t>194.11</w:t>
            </w:r>
          </w:p>
        </w:tc>
        <w:tc>
          <w:tcPr>
            <w:tcW w:w="980" w:type="dxa"/>
            <w:noWrap/>
            <w:hideMark/>
          </w:tcPr>
          <w:p w14:paraId="3179F787" w14:textId="77777777" w:rsidR="006C165A" w:rsidRPr="007C48CD" w:rsidRDefault="006C165A" w:rsidP="00F47D17">
            <w:pPr>
              <w:spacing w:before="120" w:line="360" w:lineRule="auto"/>
              <w:jc w:val="center"/>
            </w:pPr>
            <w:r w:rsidRPr="007C48CD">
              <w:t>122.693</w:t>
            </w:r>
          </w:p>
        </w:tc>
        <w:tc>
          <w:tcPr>
            <w:tcW w:w="960" w:type="dxa"/>
            <w:noWrap/>
            <w:hideMark/>
          </w:tcPr>
          <w:p w14:paraId="2F19C4DE" w14:textId="77777777" w:rsidR="006C165A" w:rsidRPr="007C48CD" w:rsidRDefault="006C165A" w:rsidP="00F47D17">
            <w:pPr>
              <w:spacing w:before="120" w:line="360" w:lineRule="auto"/>
              <w:jc w:val="center"/>
            </w:pPr>
            <w:r w:rsidRPr="007C48CD">
              <w:t>256.95</w:t>
            </w:r>
          </w:p>
        </w:tc>
        <w:tc>
          <w:tcPr>
            <w:tcW w:w="980" w:type="dxa"/>
            <w:noWrap/>
            <w:hideMark/>
          </w:tcPr>
          <w:p w14:paraId="0AA255CA" w14:textId="77777777" w:rsidR="006C165A" w:rsidRPr="007C48CD" w:rsidRDefault="006C165A" w:rsidP="00F47D17">
            <w:pPr>
              <w:spacing w:before="120" w:line="360" w:lineRule="auto"/>
              <w:jc w:val="center"/>
            </w:pPr>
            <w:r w:rsidRPr="007C48CD">
              <w:t>175.706</w:t>
            </w:r>
          </w:p>
        </w:tc>
        <w:tc>
          <w:tcPr>
            <w:tcW w:w="752" w:type="dxa"/>
          </w:tcPr>
          <w:p w14:paraId="10C1D165" w14:textId="77777777" w:rsidR="006C165A" w:rsidRPr="007C48CD" w:rsidRDefault="006C165A" w:rsidP="00F47D17">
            <w:pPr>
              <w:spacing w:before="120" w:line="360" w:lineRule="auto"/>
              <w:jc w:val="center"/>
            </w:pPr>
            <w:r w:rsidRPr="007C48CD">
              <w:t>-1.823</w:t>
            </w:r>
          </w:p>
        </w:tc>
        <w:tc>
          <w:tcPr>
            <w:tcW w:w="880" w:type="dxa"/>
            <w:noWrap/>
            <w:hideMark/>
          </w:tcPr>
          <w:p w14:paraId="768ACD34" w14:textId="77777777" w:rsidR="006C165A" w:rsidRPr="007C48CD" w:rsidRDefault="006C165A" w:rsidP="00F47D17">
            <w:pPr>
              <w:spacing w:before="120" w:line="360" w:lineRule="auto"/>
              <w:jc w:val="center"/>
            </w:pPr>
            <w:r w:rsidRPr="007C48CD">
              <w:t>0.072</w:t>
            </w:r>
          </w:p>
        </w:tc>
      </w:tr>
      <w:tr w:rsidR="006C165A" w:rsidRPr="00B52548" w14:paraId="7D2D9A44" w14:textId="77777777" w:rsidTr="00E7502B">
        <w:trPr>
          <w:trHeight w:hRule="exact" w:val="459"/>
        </w:trPr>
        <w:tc>
          <w:tcPr>
            <w:tcW w:w="1023" w:type="dxa"/>
            <w:noWrap/>
            <w:hideMark/>
          </w:tcPr>
          <w:p w14:paraId="07CEF5FD" w14:textId="77777777" w:rsidR="006C165A" w:rsidRPr="007C48CD" w:rsidRDefault="006C165A" w:rsidP="00F47D17">
            <w:pPr>
              <w:spacing w:before="120" w:line="360" w:lineRule="auto"/>
            </w:pPr>
            <w:r w:rsidRPr="007C48CD">
              <w:t>TMB2</w:t>
            </w:r>
          </w:p>
        </w:tc>
        <w:tc>
          <w:tcPr>
            <w:tcW w:w="950" w:type="dxa"/>
            <w:noWrap/>
            <w:hideMark/>
          </w:tcPr>
          <w:p w14:paraId="29BF9E9D" w14:textId="77777777" w:rsidR="006C165A" w:rsidRPr="007C48CD" w:rsidRDefault="006C165A" w:rsidP="00F47D17">
            <w:pPr>
              <w:spacing w:before="120" w:line="360" w:lineRule="auto"/>
              <w:jc w:val="center"/>
            </w:pPr>
            <w:r w:rsidRPr="007C48CD">
              <w:t>175.83</w:t>
            </w:r>
          </w:p>
        </w:tc>
        <w:tc>
          <w:tcPr>
            <w:tcW w:w="980" w:type="dxa"/>
            <w:noWrap/>
            <w:hideMark/>
          </w:tcPr>
          <w:p w14:paraId="3734AD40" w14:textId="77777777" w:rsidR="006C165A" w:rsidRPr="007C48CD" w:rsidRDefault="006C165A" w:rsidP="00F47D17">
            <w:pPr>
              <w:spacing w:before="120" w:line="360" w:lineRule="auto"/>
              <w:jc w:val="center"/>
            </w:pPr>
            <w:r w:rsidRPr="007C48CD">
              <w:t>118.463</w:t>
            </w:r>
          </w:p>
        </w:tc>
        <w:tc>
          <w:tcPr>
            <w:tcW w:w="960" w:type="dxa"/>
            <w:noWrap/>
            <w:hideMark/>
          </w:tcPr>
          <w:p w14:paraId="7AE73D46" w14:textId="77777777" w:rsidR="006C165A" w:rsidRPr="007C48CD" w:rsidRDefault="006C165A" w:rsidP="00F47D17">
            <w:pPr>
              <w:spacing w:before="120" w:line="360" w:lineRule="auto"/>
              <w:jc w:val="center"/>
            </w:pPr>
            <w:r w:rsidRPr="007C48CD">
              <w:t>221.03</w:t>
            </w:r>
          </w:p>
        </w:tc>
        <w:tc>
          <w:tcPr>
            <w:tcW w:w="980" w:type="dxa"/>
            <w:noWrap/>
            <w:hideMark/>
          </w:tcPr>
          <w:p w14:paraId="14269C25" w14:textId="77777777" w:rsidR="006C165A" w:rsidRPr="007C48CD" w:rsidRDefault="006C165A" w:rsidP="00F47D17">
            <w:pPr>
              <w:spacing w:before="120" w:line="360" w:lineRule="auto"/>
              <w:jc w:val="center"/>
            </w:pPr>
            <w:r w:rsidRPr="007C48CD">
              <w:t>144.608</w:t>
            </w:r>
          </w:p>
        </w:tc>
        <w:tc>
          <w:tcPr>
            <w:tcW w:w="752" w:type="dxa"/>
          </w:tcPr>
          <w:p w14:paraId="2840F8B5" w14:textId="77777777" w:rsidR="006C165A" w:rsidRPr="007C48CD" w:rsidRDefault="006C165A" w:rsidP="00F47D17">
            <w:pPr>
              <w:spacing w:before="120" w:line="360" w:lineRule="auto"/>
              <w:jc w:val="center"/>
            </w:pPr>
            <w:r w:rsidRPr="007C48CD">
              <w:t>-1.473</w:t>
            </w:r>
          </w:p>
        </w:tc>
        <w:tc>
          <w:tcPr>
            <w:tcW w:w="880" w:type="dxa"/>
            <w:noWrap/>
            <w:hideMark/>
          </w:tcPr>
          <w:p w14:paraId="5F91F33F" w14:textId="77777777" w:rsidR="006C165A" w:rsidRPr="007C48CD" w:rsidRDefault="006C165A" w:rsidP="00F47D17">
            <w:pPr>
              <w:spacing w:before="120" w:line="360" w:lineRule="auto"/>
              <w:jc w:val="center"/>
            </w:pPr>
            <w:r w:rsidRPr="007C48CD">
              <w:t>0.145</w:t>
            </w:r>
          </w:p>
        </w:tc>
      </w:tr>
      <w:tr w:rsidR="006C165A" w:rsidRPr="00B52548" w14:paraId="23B0AF5B" w14:textId="77777777" w:rsidTr="00E7502B">
        <w:trPr>
          <w:trHeight w:hRule="exact" w:val="475"/>
        </w:trPr>
        <w:tc>
          <w:tcPr>
            <w:tcW w:w="1023" w:type="dxa"/>
            <w:noWrap/>
          </w:tcPr>
          <w:p w14:paraId="59840F7F" w14:textId="77777777" w:rsidR="006C165A" w:rsidRPr="007C48CD" w:rsidRDefault="006C165A" w:rsidP="00F47D17">
            <w:pPr>
              <w:spacing w:before="120" w:line="360" w:lineRule="auto"/>
            </w:pPr>
            <w:r w:rsidRPr="007C48CD">
              <w:t>TMB3</w:t>
            </w:r>
          </w:p>
        </w:tc>
        <w:tc>
          <w:tcPr>
            <w:tcW w:w="950" w:type="dxa"/>
            <w:noWrap/>
          </w:tcPr>
          <w:p w14:paraId="3A537173" w14:textId="77777777" w:rsidR="006C165A" w:rsidRPr="007C48CD" w:rsidRDefault="006C165A" w:rsidP="00F47D17">
            <w:pPr>
              <w:spacing w:before="120" w:line="360" w:lineRule="auto"/>
              <w:jc w:val="center"/>
            </w:pPr>
            <w:r w:rsidRPr="007C48CD">
              <w:t>167.28</w:t>
            </w:r>
          </w:p>
        </w:tc>
        <w:tc>
          <w:tcPr>
            <w:tcW w:w="980" w:type="dxa"/>
            <w:noWrap/>
          </w:tcPr>
          <w:p w14:paraId="2E341B5A" w14:textId="77777777" w:rsidR="006C165A" w:rsidRPr="007C48CD" w:rsidRDefault="006C165A" w:rsidP="00F47D17">
            <w:pPr>
              <w:spacing w:before="120" w:line="360" w:lineRule="auto"/>
              <w:jc w:val="center"/>
            </w:pPr>
            <w:r w:rsidRPr="007C48CD">
              <w:t>111.310</w:t>
            </w:r>
          </w:p>
        </w:tc>
        <w:tc>
          <w:tcPr>
            <w:tcW w:w="960" w:type="dxa"/>
            <w:noWrap/>
          </w:tcPr>
          <w:p w14:paraId="200A059E" w14:textId="77777777" w:rsidR="006C165A" w:rsidRPr="007C48CD" w:rsidRDefault="006C165A" w:rsidP="00F47D17">
            <w:pPr>
              <w:spacing w:before="120" w:line="360" w:lineRule="auto"/>
              <w:jc w:val="center"/>
            </w:pPr>
            <w:r w:rsidRPr="007C48CD">
              <w:t>165.13</w:t>
            </w:r>
          </w:p>
        </w:tc>
        <w:tc>
          <w:tcPr>
            <w:tcW w:w="980" w:type="dxa"/>
            <w:noWrap/>
          </w:tcPr>
          <w:p w14:paraId="3B864189" w14:textId="77777777" w:rsidR="006C165A" w:rsidRPr="007C48CD" w:rsidRDefault="006C165A" w:rsidP="00F47D17">
            <w:pPr>
              <w:spacing w:before="120" w:line="360" w:lineRule="auto"/>
              <w:jc w:val="center"/>
            </w:pPr>
            <w:r w:rsidRPr="007C48CD">
              <w:t>102.780</w:t>
            </w:r>
          </w:p>
        </w:tc>
        <w:tc>
          <w:tcPr>
            <w:tcW w:w="752" w:type="dxa"/>
          </w:tcPr>
          <w:p w14:paraId="288CF505" w14:textId="77777777" w:rsidR="006C165A" w:rsidRPr="007C48CD" w:rsidRDefault="006C165A" w:rsidP="00F47D17">
            <w:pPr>
              <w:spacing w:before="120" w:line="360" w:lineRule="auto"/>
              <w:jc w:val="center"/>
            </w:pPr>
            <w:r w:rsidRPr="007C48CD">
              <w:t>0.087</w:t>
            </w:r>
          </w:p>
        </w:tc>
        <w:tc>
          <w:tcPr>
            <w:tcW w:w="880" w:type="dxa"/>
            <w:noWrap/>
          </w:tcPr>
          <w:p w14:paraId="42A088E6" w14:textId="77777777" w:rsidR="006C165A" w:rsidRPr="007C48CD" w:rsidRDefault="006C165A" w:rsidP="00F47D17">
            <w:pPr>
              <w:spacing w:before="120" w:line="360" w:lineRule="auto"/>
              <w:jc w:val="center"/>
            </w:pPr>
            <w:r w:rsidRPr="007C48CD">
              <w:t>0.931</w:t>
            </w:r>
          </w:p>
        </w:tc>
      </w:tr>
      <w:tr w:rsidR="006C165A" w:rsidRPr="00B52548" w14:paraId="6B1C2BE7" w14:textId="77777777" w:rsidTr="00E7502B">
        <w:trPr>
          <w:trHeight w:hRule="exact" w:val="467"/>
        </w:trPr>
        <w:tc>
          <w:tcPr>
            <w:tcW w:w="1023" w:type="dxa"/>
            <w:noWrap/>
            <w:hideMark/>
          </w:tcPr>
          <w:p w14:paraId="4C43FAB1" w14:textId="77777777" w:rsidR="006C165A" w:rsidRPr="007C48CD" w:rsidRDefault="006C165A" w:rsidP="00F47D17">
            <w:pPr>
              <w:spacing w:before="120" w:line="360" w:lineRule="auto"/>
            </w:pPr>
            <w:r w:rsidRPr="007C48CD">
              <w:t>DST1</w:t>
            </w:r>
          </w:p>
        </w:tc>
        <w:tc>
          <w:tcPr>
            <w:tcW w:w="950" w:type="dxa"/>
            <w:noWrap/>
            <w:hideMark/>
          </w:tcPr>
          <w:p w14:paraId="66F540D3" w14:textId="77777777" w:rsidR="006C165A" w:rsidRPr="007C48CD" w:rsidRDefault="006C165A" w:rsidP="00F47D17">
            <w:pPr>
              <w:spacing w:before="120" w:line="360" w:lineRule="auto"/>
              <w:jc w:val="center"/>
            </w:pPr>
            <w:r w:rsidRPr="007C48CD">
              <w:t>353.11</w:t>
            </w:r>
          </w:p>
        </w:tc>
        <w:tc>
          <w:tcPr>
            <w:tcW w:w="980" w:type="dxa"/>
            <w:noWrap/>
            <w:hideMark/>
          </w:tcPr>
          <w:p w14:paraId="69C4C766" w14:textId="77777777" w:rsidR="006C165A" w:rsidRPr="007C48CD" w:rsidRDefault="006C165A" w:rsidP="00F47D17">
            <w:pPr>
              <w:spacing w:before="120" w:line="360" w:lineRule="auto"/>
              <w:jc w:val="center"/>
            </w:pPr>
            <w:r w:rsidRPr="007C48CD">
              <w:t>242.754</w:t>
            </w:r>
          </w:p>
        </w:tc>
        <w:tc>
          <w:tcPr>
            <w:tcW w:w="960" w:type="dxa"/>
            <w:noWrap/>
            <w:hideMark/>
          </w:tcPr>
          <w:p w14:paraId="3D2291B6" w14:textId="77777777" w:rsidR="006C165A" w:rsidRPr="007C48CD" w:rsidRDefault="006C165A" w:rsidP="00F47D17">
            <w:pPr>
              <w:spacing w:before="120" w:line="360" w:lineRule="auto"/>
              <w:jc w:val="center"/>
            </w:pPr>
            <w:r w:rsidRPr="007C48CD">
              <w:t>332.00</w:t>
            </w:r>
          </w:p>
        </w:tc>
        <w:tc>
          <w:tcPr>
            <w:tcW w:w="980" w:type="dxa"/>
            <w:noWrap/>
            <w:hideMark/>
          </w:tcPr>
          <w:p w14:paraId="723CBE0B" w14:textId="77777777" w:rsidR="006C165A" w:rsidRPr="007C48CD" w:rsidRDefault="006C165A" w:rsidP="00F47D17">
            <w:pPr>
              <w:spacing w:before="120" w:line="360" w:lineRule="auto"/>
              <w:jc w:val="center"/>
            </w:pPr>
            <w:r w:rsidRPr="007C48CD">
              <w:t>258.591</w:t>
            </w:r>
          </w:p>
        </w:tc>
        <w:tc>
          <w:tcPr>
            <w:tcW w:w="752" w:type="dxa"/>
          </w:tcPr>
          <w:p w14:paraId="1F539E6A" w14:textId="77777777" w:rsidR="006C165A" w:rsidRPr="007C48CD" w:rsidRDefault="006C165A" w:rsidP="00F47D17">
            <w:pPr>
              <w:spacing w:before="120" w:line="360" w:lineRule="auto"/>
              <w:jc w:val="center"/>
            </w:pPr>
            <w:r w:rsidRPr="007C48CD">
              <w:t>0.357</w:t>
            </w:r>
          </w:p>
        </w:tc>
        <w:tc>
          <w:tcPr>
            <w:tcW w:w="880" w:type="dxa"/>
            <w:noWrap/>
            <w:hideMark/>
          </w:tcPr>
          <w:p w14:paraId="65F10A11" w14:textId="77777777" w:rsidR="006C165A" w:rsidRPr="007C48CD" w:rsidRDefault="006C165A" w:rsidP="00F47D17">
            <w:pPr>
              <w:spacing w:before="120" w:line="360" w:lineRule="auto"/>
              <w:jc w:val="center"/>
            </w:pPr>
            <w:r w:rsidRPr="007C48CD">
              <w:t>0.722</w:t>
            </w:r>
          </w:p>
        </w:tc>
      </w:tr>
      <w:tr w:rsidR="006C165A" w:rsidRPr="00B52548" w14:paraId="47B9E841" w14:textId="77777777" w:rsidTr="00E7502B">
        <w:trPr>
          <w:trHeight w:hRule="exact" w:val="459"/>
        </w:trPr>
        <w:tc>
          <w:tcPr>
            <w:tcW w:w="1023" w:type="dxa"/>
            <w:noWrap/>
            <w:hideMark/>
          </w:tcPr>
          <w:p w14:paraId="32CD352E" w14:textId="77777777" w:rsidR="006C165A" w:rsidRPr="007C48CD" w:rsidRDefault="006C165A" w:rsidP="00F47D17">
            <w:pPr>
              <w:spacing w:before="120" w:line="360" w:lineRule="auto"/>
            </w:pPr>
            <w:r w:rsidRPr="007C48CD">
              <w:t>DST2</w:t>
            </w:r>
          </w:p>
        </w:tc>
        <w:tc>
          <w:tcPr>
            <w:tcW w:w="950" w:type="dxa"/>
            <w:noWrap/>
            <w:hideMark/>
          </w:tcPr>
          <w:p w14:paraId="057DEDB9" w14:textId="77777777" w:rsidR="006C165A" w:rsidRPr="007C48CD" w:rsidRDefault="006C165A" w:rsidP="00F47D17">
            <w:pPr>
              <w:spacing w:before="120" w:line="360" w:lineRule="auto"/>
              <w:jc w:val="center"/>
            </w:pPr>
            <w:r w:rsidRPr="007C48CD">
              <w:t>285.29</w:t>
            </w:r>
          </w:p>
        </w:tc>
        <w:tc>
          <w:tcPr>
            <w:tcW w:w="980" w:type="dxa"/>
            <w:noWrap/>
            <w:hideMark/>
          </w:tcPr>
          <w:p w14:paraId="4B1574AC" w14:textId="77777777" w:rsidR="006C165A" w:rsidRPr="007C48CD" w:rsidRDefault="006C165A" w:rsidP="00F47D17">
            <w:pPr>
              <w:spacing w:before="120" w:line="360" w:lineRule="auto"/>
              <w:jc w:val="center"/>
            </w:pPr>
            <w:r w:rsidRPr="007C48CD">
              <w:t>210.734</w:t>
            </w:r>
          </w:p>
        </w:tc>
        <w:tc>
          <w:tcPr>
            <w:tcW w:w="960" w:type="dxa"/>
            <w:noWrap/>
            <w:hideMark/>
          </w:tcPr>
          <w:p w14:paraId="1129D99B" w14:textId="77777777" w:rsidR="006C165A" w:rsidRPr="007C48CD" w:rsidRDefault="006C165A" w:rsidP="00F47D17">
            <w:pPr>
              <w:spacing w:before="120" w:line="360" w:lineRule="auto"/>
              <w:jc w:val="center"/>
            </w:pPr>
            <w:r w:rsidRPr="007C48CD">
              <w:t>269.31</w:t>
            </w:r>
          </w:p>
        </w:tc>
        <w:tc>
          <w:tcPr>
            <w:tcW w:w="980" w:type="dxa"/>
            <w:noWrap/>
            <w:hideMark/>
          </w:tcPr>
          <w:p w14:paraId="0D8DD119" w14:textId="77777777" w:rsidR="006C165A" w:rsidRPr="007C48CD" w:rsidRDefault="006C165A" w:rsidP="00F47D17">
            <w:pPr>
              <w:spacing w:before="120" w:line="360" w:lineRule="auto"/>
              <w:jc w:val="center"/>
            </w:pPr>
            <w:r w:rsidRPr="007C48CD">
              <w:t>217.068</w:t>
            </w:r>
          </w:p>
        </w:tc>
        <w:tc>
          <w:tcPr>
            <w:tcW w:w="752" w:type="dxa"/>
          </w:tcPr>
          <w:p w14:paraId="149B71FE" w14:textId="77777777" w:rsidR="006C165A" w:rsidRPr="007C48CD" w:rsidRDefault="006C165A" w:rsidP="00F47D17">
            <w:pPr>
              <w:spacing w:before="120" w:line="360" w:lineRule="auto"/>
              <w:jc w:val="center"/>
            </w:pPr>
            <w:r w:rsidRPr="007C48CD">
              <w:t>0.312</w:t>
            </w:r>
          </w:p>
        </w:tc>
        <w:tc>
          <w:tcPr>
            <w:tcW w:w="880" w:type="dxa"/>
            <w:noWrap/>
            <w:hideMark/>
          </w:tcPr>
          <w:p w14:paraId="2A70E2CF" w14:textId="77777777" w:rsidR="006C165A" w:rsidRPr="007C48CD" w:rsidRDefault="006C165A" w:rsidP="00F47D17">
            <w:pPr>
              <w:spacing w:before="120" w:line="360" w:lineRule="auto"/>
              <w:jc w:val="center"/>
            </w:pPr>
            <w:r w:rsidRPr="007C48CD">
              <w:t>0.756</w:t>
            </w:r>
          </w:p>
        </w:tc>
      </w:tr>
      <w:tr w:rsidR="006C165A" w:rsidRPr="00B52548" w14:paraId="6D51C0FF" w14:textId="77777777" w:rsidTr="00E7502B">
        <w:trPr>
          <w:trHeight w:hRule="exact" w:val="475"/>
        </w:trPr>
        <w:tc>
          <w:tcPr>
            <w:tcW w:w="1023" w:type="dxa"/>
            <w:noWrap/>
            <w:hideMark/>
          </w:tcPr>
          <w:p w14:paraId="420FE346" w14:textId="77777777" w:rsidR="006C165A" w:rsidRPr="007C48CD" w:rsidRDefault="006C165A" w:rsidP="00F47D17">
            <w:pPr>
              <w:spacing w:before="120" w:line="360" w:lineRule="auto"/>
            </w:pPr>
            <w:r w:rsidRPr="007C48CD">
              <w:t>DST3</w:t>
            </w:r>
          </w:p>
        </w:tc>
        <w:tc>
          <w:tcPr>
            <w:tcW w:w="950" w:type="dxa"/>
            <w:noWrap/>
            <w:hideMark/>
          </w:tcPr>
          <w:p w14:paraId="768ED037" w14:textId="77777777" w:rsidR="006C165A" w:rsidRPr="007C48CD" w:rsidRDefault="006C165A" w:rsidP="00F47D17">
            <w:pPr>
              <w:spacing w:before="120" w:line="360" w:lineRule="auto"/>
              <w:jc w:val="center"/>
            </w:pPr>
            <w:r w:rsidRPr="007C48CD">
              <w:t>290.26</w:t>
            </w:r>
          </w:p>
        </w:tc>
        <w:tc>
          <w:tcPr>
            <w:tcW w:w="980" w:type="dxa"/>
            <w:noWrap/>
            <w:hideMark/>
          </w:tcPr>
          <w:p w14:paraId="5FD6BB60" w14:textId="77777777" w:rsidR="006C165A" w:rsidRPr="007C48CD" w:rsidRDefault="006C165A" w:rsidP="00F47D17">
            <w:pPr>
              <w:spacing w:before="120" w:line="360" w:lineRule="auto"/>
              <w:jc w:val="center"/>
            </w:pPr>
            <w:r w:rsidRPr="007C48CD">
              <w:t>196.356</w:t>
            </w:r>
          </w:p>
        </w:tc>
        <w:tc>
          <w:tcPr>
            <w:tcW w:w="960" w:type="dxa"/>
            <w:noWrap/>
            <w:hideMark/>
          </w:tcPr>
          <w:p w14:paraId="4BDF3335" w14:textId="77777777" w:rsidR="006C165A" w:rsidRPr="007C48CD" w:rsidRDefault="006C165A" w:rsidP="00F47D17">
            <w:pPr>
              <w:spacing w:before="120" w:line="360" w:lineRule="auto"/>
              <w:jc w:val="center"/>
            </w:pPr>
            <w:r w:rsidRPr="007C48CD">
              <w:t>220.69</w:t>
            </w:r>
          </w:p>
        </w:tc>
        <w:tc>
          <w:tcPr>
            <w:tcW w:w="980" w:type="dxa"/>
            <w:noWrap/>
            <w:hideMark/>
          </w:tcPr>
          <w:p w14:paraId="4CBC5038" w14:textId="77777777" w:rsidR="006C165A" w:rsidRPr="007C48CD" w:rsidRDefault="006C165A" w:rsidP="00F47D17">
            <w:pPr>
              <w:spacing w:before="120" w:line="360" w:lineRule="auto"/>
              <w:jc w:val="center"/>
            </w:pPr>
            <w:r w:rsidRPr="007C48CD">
              <w:t>167.697</w:t>
            </w:r>
          </w:p>
        </w:tc>
        <w:tc>
          <w:tcPr>
            <w:tcW w:w="752" w:type="dxa"/>
          </w:tcPr>
          <w:p w14:paraId="6F5E579F" w14:textId="77777777" w:rsidR="006C165A" w:rsidRPr="007C48CD" w:rsidRDefault="006C165A" w:rsidP="00F47D17">
            <w:pPr>
              <w:spacing w:before="120" w:line="360" w:lineRule="auto"/>
              <w:jc w:val="center"/>
            </w:pPr>
            <w:r w:rsidRPr="007C48CD">
              <w:t>1.594</w:t>
            </w:r>
          </w:p>
        </w:tc>
        <w:tc>
          <w:tcPr>
            <w:tcW w:w="880" w:type="dxa"/>
            <w:noWrap/>
            <w:hideMark/>
          </w:tcPr>
          <w:p w14:paraId="11546274" w14:textId="77777777" w:rsidR="006C165A" w:rsidRPr="007C48CD" w:rsidRDefault="006C165A" w:rsidP="00F47D17">
            <w:pPr>
              <w:spacing w:before="120" w:line="360" w:lineRule="auto"/>
              <w:jc w:val="center"/>
            </w:pPr>
            <w:r w:rsidRPr="007C48CD">
              <w:t>0.116</w:t>
            </w:r>
          </w:p>
        </w:tc>
      </w:tr>
      <w:tr w:rsidR="006C165A" w:rsidRPr="00B52548" w14:paraId="23DE2B96" w14:textId="77777777" w:rsidTr="00E7502B">
        <w:trPr>
          <w:trHeight w:hRule="exact" w:val="467"/>
        </w:trPr>
        <w:tc>
          <w:tcPr>
            <w:tcW w:w="1023" w:type="dxa"/>
            <w:noWrap/>
            <w:hideMark/>
          </w:tcPr>
          <w:p w14:paraId="7465F410" w14:textId="77777777" w:rsidR="006C165A" w:rsidRPr="007C48CD" w:rsidRDefault="006C165A" w:rsidP="00F47D17">
            <w:pPr>
              <w:spacing w:before="120" w:line="360" w:lineRule="auto"/>
            </w:pPr>
            <w:r w:rsidRPr="007C48CD">
              <w:t>DVT1</w:t>
            </w:r>
          </w:p>
        </w:tc>
        <w:tc>
          <w:tcPr>
            <w:tcW w:w="950" w:type="dxa"/>
            <w:noWrap/>
            <w:hideMark/>
          </w:tcPr>
          <w:p w14:paraId="06510CB7" w14:textId="77777777" w:rsidR="006C165A" w:rsidRPr="007C48CD" w:rsidRDefault="006C165A" w:rsidP="00F47D17">
            <w:pPr>
              <w:spacing w:before="120" w:line="360" w:lineRule="auto"/>
              <w:jc w:val="center"/>
            </w:pPr>
            <w:r w:rsidRPr="007C48CD">
              <w:t>646.39</w:t>
            </w:r>
          </w:p>
        </w:tc>
        <w:tc>
          <w:tcPr>
            <w:tcW w:w="980" w:type="dxa"/>
            <w:noWrap/>
            <w:hideMark/>
          </w:tcPr>
          <w:p w14:paraId="6E61888B" w14:textId="77777777" w:rsidR="006C165A" w:rsidRPr="007C48CD" w:rsidRDefault="006C165A" w:rsidP="00F47D17">
            <w:pPr>
              <w:spacing w:before="120" w:line="360" w:lineRule="auto"/>
              <w:jc w:val="center"/>
            </w:pPr>
            <w:r w:rsidRPr="007C48CD">
              <w:t>221.055</w:t>
            </w:r>
          </w:p>
        </w:tc>
        <w:tc>
          <w:tcPr>
            <w:tcW w:w="960" w:type="dxa"/>
            <w:noWrap/>
            <w:hideMark/>
          </w:tcPr>
          <w:p w14:paraId="2EC021F3" w14:textId="77777777" w:rsidR="006C165A" w:rsidRPr="007C48CD" w:rsidRDefault="006C165A" w:rsidP="00F47D17">
            <w:pPr>
              <w:spacing w:before="120" w:line="360" w:lineRule="auto"/>
              <w:jc w:val="center"/>
            </w:pPr>
            <w:r w:rsidRPr="007C48CD">
              <w:t>553.17</w:t>
            </w:r>
          </w:p>
        </w:tc>
        <w:tc>
          <w:tcPr>
            <w:tcW w:w="980" w:type="dxa"/>
            <w:noWrap/>
            <w:hideMark/>
          </w:tcPr>
          <w:p w14:paraId="1BE33F05" w14:textId="77777777" w:rsidR="006C165A" w:rsidRPr="007C48CD" w:rsidRDefault="006C165A" w:rsidP="00F47D17">
            <w:pPr>
              <w:spacing w:before="120" w:line="360" w:lineRule="auto"/>
              <w:jc w:val="center"/>
            </w:pPr>
            <w:r w:rsidRPr="007C48CD">
              <w:t>199.925</w:t>
            </w:r>
          </w:p>
        </w:tc>
        <w:tc>
          <w:tcPr>
            <w:tcW w:w="752" w:type="dxa"/>
          </w:tcPr>
          <w:p w14:paraId="77F57130" w14:textId="77777777" w:rsidR="006C165A" w:rsidRPr="007C48CD" w:rsidRDefault="006C165A" w:rsidP="00F47D17">
            <w:pPr>
              <w:spacing w:before="120" w:line="360" w:lineRule="auto"/>
              <w:jc w:val="center"/>
            </w:pPr>
            <w:r w:rsidRPr="007C48CD">
              <w:t>1.877</w:t>
            </w:r>
          </w:p>
        </w:tc>
        <w:tc>
          <w:tcPr>
            <w:tcW w:w="880" w:type="dxa"/>
            <w:noWrap/>
            <w:hideMark/>
          </w:tcPr>
          <w:p w14:paraId="1E043E7E" w14:textId="77777777" w:rsidR="006C165A" w:rsidRPr="007C48CD" w:rsidRDefault="006C165A" w:rsidP="00F47D17">
            <w:pPr>
              <w:spacing w:before="120" w:line="360" w:lineRule="auto"/>
              <w:jc w:val="center"/>
            </w:pPr>
            <w:r w:rsidRPr="007C48CD">
              <w:t>0.065</w:t>
            </w:r>
          </w:p>
        </w:tc>
      </w:tr>
      <w:tr w:rsidR="006C165A" w:rsidRPr="00B52548" w14:paraId="45E21A45" w14:textId="77777777" w:rsidTr="00E7502B">
        <w:trPr>
          <w:trHeight w:hRule="exact" w:val="459"/>
        </w:trPr>
        <w:tc>
          <w:tcPr>
            <w:tcW w:w="1023" w:type="dxa"/>
            <w:noWrap/>
            <w:hideMark/>
          </w:tcPr>
          <w:p w14:paraId="1D3ADBBB" w14:textId="77777777" w:rsidR="006C165A" w:rsidRPr="007C48CD" w:rsidRDefault="006C165A" w:rsidP="00F47D17">
            <w:pPr>
              <w:spacing w:before="120" w:line="360" w:lineRule="auto"/>
            </w:pPr>
            <w:r w:rsidRPr="007C48CD">
              <w:t>DVT2</w:t>
            </w:r>
          </w:p>
        </w:tc>
        <w:tc>
          <w:tcPr>
            <w:tcW w:w="950" w:type="dxa"/>
            <w:noWrap/>
            <w:hideMark/>
          </w:tcPr>
          <w:p w14:paraId="760C5E49" w14:textId="77777777" w:rsidR="006C165A" w:rsidRPr="007C48CD" w:rsidRDefault="006C165A" w:rsidP="00F47D17">
            <w:pPr>
              <w:spacing w:before="120" w:line="360" w:lineRule="auto"/>
              <w:jc w:val="center"/>
            </w:pPr>
            <w:r w:rsidRPr="007C48CD">
              <w:t>578.29</w:t>
            </w:r>
          </w:p>
        </w:tc>
        <w:tc>
          <w:tcPr>
            <w:tcW w:w="980" w:type="dxa"/>
            <w:noWrap/>
            <w:hideMark/>
          </w:tcPr>
          <w:p w14:paraId="538A100D" w14:textId="77777777" w:rsidR="006C165A" w:rsidRPr="007C48CD" w:rsidRDefault="006C165A" w:rsidP="00F47D17">
            <w:pPr>
              <w:spacing w:before="120" w:line="360" w:lineRule="auto"/>
              <w:jc w:val="center"/>
            </w:pPr>
            <w:r w:rsidRPr="007C48CD">
              <w:t>196.116</w:t>
            </w:r>
          </w:p>
        </w:tc>
        <w:tc>
          <w:tcPr>
            <w:tcW w:w="960" w:type="dxa"/>
            <w:noWrap/>
            <w:hideMark/>
          </w:tcPr>
          <w:p w14:paraId="7296B489" w14:textId="77777777" w:rsidR="006C165A" w:rsidRPr="007C48CD" w:rsidRDefault="006C165A" w:rsidP="00F47D17">
            <w:pPr>
              <w:spacing w:before="120" w:line="360" w:lineRule="auto"/>
              <w:jc w:val="center"/>
            </w:pPr>
            <w:r w:rsidRPr="007C48CD">
              <w:t>469.54</w:t>
            </w:r>
          </w:p>
        </w:tc>
        <w:tc>
          <w:tcPr>
            <w:tcW w:w="980" w:type="dxa"/>
            <w:noWrap/>
            <w:hideMark/>
          </w:tcPr>
          <w:p w14:paraId="1A98E89A" w14:textId="77777777" w:rsidR="006C165A" w:rsidRPr="007C48CD" w:rsidRDefault="006C165A" w:rsidP="00F47D17">
            <w:pPr>
              <w:spacing w:before="120" w:line="360" w:lineRule="auto"/>
              <w:jc w:val="center"/>
            </w:pPr>
            <w:r w:rsidRPr="007C48CD">
              <w:t>164.810</w:t>
            </w:r>
          </w:p>
        </w:tc>
        <w:tc>
          <w:tcPr>
            <w:tcW w:w="752" w:type="dxa"/>
          </w:tcPr>
          <w:p w14:paraId="77202718" w14:textId="77777777" w:rsidR="006C165A" w:rsidRPr="007C48CD" w:rsidRDefault="006C165A" w:rsidP="00F47D17">
            <w:pPr>
              <w:spacing w:before="120" w:line="360" w:lineRule="auto"/>
              <w:jc w:val="center"/>
            </w:pPr>
            <w:r w:rsidRPr="007C48CD">
              <w:t>2.511</w:t>
            </w:r>
          </w:p>
        </w:tc>
        <w:tc>
          <w:tcPr>
            <w:tcW w:w="880" w:type="dxa"/>
            <w:noWrap/>
            <w:hideMark/>
          </w:tcPr>
          <w:p w14:paraId="2788CB0B" w14:textId="77777777" w:rsidR="006C165A" w:rsidRPr="007C48CD" w:rsidRDefault="006C165A" w:rsidP="00F47D17">
            <w:pPr>
              <w:spacing w:before="120" w:line="360" w:lineRule="auto"/>
              <w:jc w:val="center"/>
            </w:pPr>
            <w:r w:rsidRPr="007C48CD">
              <w:t>0.014*</w:t>
            </w:r>
          </w:p>
        </w:tc>
      </w:tr>
      <w:tr w:rsidR="006C165A" w:rsidRPr="00B52548" w14:paraId="1AF51BE0" w14:textId="77777777" w:rsidTr="00E7502B">
        <w:trPr>
          <w:trHeight w:hRule="exact" w:val="467"/>
        </w:trPr>
        <w:tc>
          <w:tcPr>
            <w:tcW w:w="1023" w:type="dxa"/>
            <w:noWrap/>
            <w:hideMark/>
          </w:tcPr>
          <w:p w14:paraId="0E16A887" w14:textId="77777777" w:rsidR="006C165A" w:rsidRPr="007C48CD" w:rsidRDefault="006C165A" w:rsidP="00F47D17">
            <w:pPr>
              <w:spacing w:before="120" w:line="360" w:lineRule="auto"/>
            </w:pPr>
            <w:r w:rsidRPr="007C48CD">
              <w:t>DVT3</w:t>
            </w:r>
          </w:p>
        </w:tc>
        <w:tc>
          <w:tcPr>
            <w:tcW w:w="950" w:type="dxa"/>
            <w:noWrap/>
            <w:hideMark/>
          </w:tcPr>
          <w:p w14:paraId="164C0642" w14:textId="77777777" w:rsidR="006C165A" w:rsidRPr="007C48CD" w:rsidRDefault="006C165A" w:rsidP="00F47D17">
            <w:pPr>
              <w:spacing w:before="120" w:line="360" w:lineRule="auto"/>
              <w:jc w:val="center"/>
            </w:pPr>
            <w:r w:rsidRPr="007C48CD">
              <w:t>534.69</w:t>
            </w:r>
          </w:p>
        </w:tc>
        <w:tc>
          <w:tcPr>
            <w:tcW w:w="980" w:type="dxa"/>
            <w:noWrap/>
            <w:hideMark/>
          </w:tcPr>
          <w:p w14:paraId="7D98C2D4" w14:textId="77777777" w:rsidR="006C165A" w:rsidRPr="007C48CD" w:rsidRDefault="006C165A" w:rsidP="00F47D17">
            <w:pPr>
              <w:spacing w:before="120" w:line="360" w:lineRule="auto"/>
              <w:jc w:val="center"/>
            </w:pPr>
            <w:r w:rsidRPr="007C48CD">
              <w:t>171.391</w:t>
            </w:r>
          </w:p>
        </w:tc>
        <w:tc>
          <w:tcPr>
            <w:tcW w:w="960" w:type="dxa"/>
            <w:noWrap/>
            <w:hideMark/>
          </w:tcPr>
          <w:p w14:paraId="68772956" w14:textId="77777777" w:rsidR="006C165A" w:rsidRPr="007C48CD" w:rsidRDefault="006C165A" w:rsidP="00F47D17">
            <w:pPr>
              <w:spacing w:before="120" w:line="360" w:lineRule="auto"/>
              <w:jc w:val="center"/>
            </w:pPr>
            <w:r w:rsidRPr="007C48CD">
              <w:t>418.97</w:t>
            </w:r>
          </w:p>
        </w:tc>
        <w:tc>
          <w:tcPr>
            <w:tcW w:w="980" w:type="dxa"/>
            <w:noWrap/>
            <w:hideMark/>
          </w:tcPr>
          <w:p w14:paraId="3E79BEDB" w14:textId="77777777" w:rsidR="006C165A" w:rsidRPr="007C48CD" w:rsidRDefault="006C165A" w:rsidP="00F47D17">
            <w:pPr>
              <w:spacing w:before="120" w:line="360" w:lineRule="auto"/>
              <w:jc w:val="center"/>
            </w:pPr>
            <w:r w:rsidRPr="007C48CD">
              <w:t>144.655</w:t>
            </w:r>
          </w:p>
        </w:tc>
        <w:tc>
          <w:tcPr>
            <w:tcW w:w="752" w:type="dxa"/>
          </w:tcPr>
          <w:p w14:paraId="5F9B9FA3" w14:textId="77777777" w:rsidR="006C165A" w:rsidRPr="007C48CD" w:rsidRDefault="006C165A" w:rsidP="00F47D17">
            <w:pPr>
              <w:spacing w:before="120" w:line="360" w:lineRule="auto"/>
              <w:jc w:val="center"/>
            </w:pPr>
            <w:r w:rsidRPr="007C48CD">
              <w:t>3.052</w:t>
            </w:r>
          </w:p>
        </w:tc>
        <w:tc>
          <w:tcPr>
            <w:tcW w:w="880" w:type="dxa"/>
            <w:noWrap/>
            <w:hideMark/>
          </w:tcPr>
          <w:p w14:paraId="70482660" w14:textId="77777777" w:rsidR="006C165A" w:rsidRPr="007C48CD" w:rsidRDefault="006C165A" w:rsidP="00F47D17">
            <w:pPr>
              <w:spacing w:before="120" w:line="360" w:lineRule="auto"/>
              <w:jc w:val="center"/>
            </w:pPr>
            <w:r w:rsidRPr="007C48CD">
              <w:t>0.003*</w:t>
            </w:r>
          </w:p>
        </w:tc>
      </w:tr>
      <w:tr w:rsidR="006C165A" w:rsidRPr="00B52548" w14:paraId="545BF183" w14:textId="77777777" w:rsidTr="00E7502B">
        <w:trPr>
          <w:trHeight w:hRule="exact" w:val="459"/>
        </w:trPr>
        <w:tc>
          <w:tcPr>
            <w:tcW w:w="1023" w:type="dxa"/>
            <w:noWrap/>
            <w:hideMark/>
          </w:tcPr>
          <w:p w14:paraId="483B2289" w14:textId="77777777" w:rsidR="006C165A" w:rsidRPr="007C48CD" w:rsidRDefault="006C165A" w:rsidP="00F47D17">
            <w:pPr>
              <w:spacing w:before="120" w:line="360" w:lineRule="auto"/>
            </w:pPr>
            <w:r w:rsidRPr="007C48CD">
              <w:t>FAS1</w:t>
            </w:r>
          </w:p>
        </w:tc>
        <w:tc>
          <w:tcPr>
            <w:tcW w:w="950" w:type="dxa"/>
            <w:noWrap/>
            <w:hideMark/>
          </w:tcPr>
          <w:p w14:paraId="1FA8CA86" w14:textId="77777777" w:rsidR="006C165A" w:rsidRPr="007C48CD" w:rsidRDefault="006C165A" w:rsidP="00F47D17">
            <w:pPr>
              <w:spacing w:before="120" w:line="360" w:lineRule="auto"/>
              <w:jc w:val="center"/>
            </w:pPr>
            <w:r w:rsidRPr="007C48CD">
              <w:t>32.11</w:t>
            </w:r>
          </w:p>
        </w:tc>
        <w:tc>
          <w:tcPr>
            <w:tcW w:w="980" w:type="dxa"/>
            <w:noWrap/>
            <w:hideMark/>
          </w:tcPr>
          <w:p w14:paraId="296E279C" w14:textId="77777777" w:rsidR="006C165A" w:rsidRPr="007C48CD" w:rsidRDefault="006C165A" w:rsidP="00F47D17">
            <w:pPr>
              <w:spacing w:before="120" w:line="360" w:lineRule="auto"/>
              <w:jc w:val="center"/>
            </w:pPr>
            <w:r w:rsidRPr="007C48CD">
              <w:t>14.545</w:t>
            </w:r>
          </w:p>
        </w:tc>
        <w:tc>
          <w:tcPr>
            <w:tcW w:w="960" w:type="dxa"/>
            <w:noWrap/>
            <w:hideMark/>
          </w:tcPr>
          <w:p w14:paraId="01F2569B" w14:textId="77777777" w:rsidR="006C165A" w:rsidRPr="007C48CD" w:rsidRDefault="006C165A" w:rsidP="00F47D17">
            <w:pPr>
              <w:spacing w:before="120" w:line="360" w:lineRule="auto"/>
              <w:jc w:val="center"/>
            </w:pPr>
            <w:r w:rsidRPr="007C48CD">
              <w:t>25.10</w:t>
            </w:r>
          </w:p>
        </w:tc>
        <w:tc>
          <w:tcPr>
            <w:tcW w:w="980" w:type="dxa"/>
            <w:noWrap/>
            <w:hideMark/>
          </w:tcPr>
          <w:p w14:paraId="48F11DFF" w14:textId="77777777" w:rsidR="006C165A" w:rsidRPr="007C48CD" w:rsidRDefault="006C165A" w:rsidP="00F47D17">
            <w:pPr>
              <w:spacing w:before="120" w:line="360" w:lineRule="auto"/>
              <w:jc w:val="center"/>
            </w:pPr>
            <w:r w:rsidRPr="007C48CD">
              <w:t>8.258</w:t>
            </w:r>
          </w:p>
        </w:tc>
        <w:tc>
          <w:tcPr>
            <w:tcW w:w="752" w:type="dxa"/>
          </w:tcPr>
          <w:p w14:paraId="6518A77D" w14:textId="77777777" w:rsidR="006C165A" w:rsidRPr="007C48CD" w:rsidRDefault="006C165A" w:rsidP="00F47D17">
            <w:pPr>
              <w:spacing w:before="120" w:line="360" w:lineRule="auto"/>
              <w:jc w:val="center"/>
            </w:pPr>
            <w:r w:rsidRPr="007C48CD">
              <w:t>2.633</w:t>
            </w:r>
          </w:p>
        </w:tc>
        <w:tc>
          <w:tcPr>
            <w:tcW w:w="880" w:type="dxa"/>
            <w:noWrap/>
            <w:hideMark/>
          </w:tcPr>
          <w:p w14:paraId="7DDE4DCF" w14:textId="77777777" w:rsidR="006C165A" w:rsidRPr="007C48CD" w:rsidRDefault="006C165A" w:rsidP="00F47D17">
            <w:pPr>
              <w:spacing w:before="120" w:line="360" w:lineRule="auto"/>
              <w:jc w:val="center"/>
            </w:pPr>
            <w:r w:rsidRPr="007C48CD">
              <w:t>0.010*</w:t>
            </w:r>
          </w:p>
        </w:tc>
      </w:tr>
      <w:tr w:rsidR="006C165A" w:rsidRPr="00B52548" w14:paraId="7206B2B6" w14:textId="77777777" w:rsidTr="00E7502B">
        <w:trPr>
          <w:trHeight w:hRule="exact" w:val="467"/>
        </w:trPr>
        <w:tc>
          <w:tcPr>
            <w:tcW w:w="1023" w:type="dxa"/>
            <w:noWrap/>
            <w:hideMark/>
          </w:tcPr>
          <w:p w14:paraId="664D1D68" w14:textId="77777777" w:rsidR="006C165A" w:rsidRPr="007C48CD" w:rsidRDefault="006C165A" w:rsidP="00F47D17">
            <w:pPr>
              <w:spacing w:before="120" w:line="360" w:lineRule="auto"/>
            </w:pPr>
            <w:r w:rsidRPr="007C48CD">
              <w:t>FAS2</w:t>
            </w:r>
          </w:p>
        </w:tc>
        <w:tc>
          <w:tcPr>
            <w:tcW w:w="950" w:type="dxa"/>
            <w:noWrap/>
            <w:hideMark/>
          </w:tcPr>
          <w:p w14:paraId="376E116C" w14:textId="77777777" w:rsidR="006C165A" w:rsidRPr="007C48CD" w:rsidRDefault="006C165A" w:rsidP="00F47D17">
            <w:pPr>
              <w:spacing w:before="120" w:line="360" w:lineRule="auto"/>
              <w:jc w:val="center"/>
            </w:pPr>
            <w:r w:rsidRPr="007C48CD">
              <w:t>37.13</w:t>
            </w:r>
          </w:p>
        </w:tc>
        <w:tc>
          <w:tcPr>
            <w:tcW w:w="980" w:type="dxa"/>
            <w:noWrap/>
            <w:hideMark/>
          </w:tcPr>
          <w:p w14:paraId="149F32A1" w14:textId="77777777" w:rsidR="006C165A" w:rsidRPr="007C48CD" w:rsidRDefault="006C165A" w:rsidP="00F47D17">
            <w:pPr>
              <w:spacing w:before="120" w:line="360" w:lineRule="auto"/>
              <w:jc w:val="center"/>
            </w:pPr>
            <w:r w:rsidRPr="007C48CD">
              <w:t>13.913</w:t>
            </w:r>
          </w:p>
        </w:tc>
        <w:tc>
          <w:tcPr>
            <w:tcW w:w="960" w:type="dxa"/>
            <w:noWrap/>
            <w:hideMark/>
          </w:tcPr>
          <w:p w14:paraId="3A660E86" w14:textId="77777777" w:rsidR="006C165A" w:rsidRPr="007C48CD" w:rsidRDefault="006C165A" w:rsidP="00F47D17">
            <w:pPr>
              <w:spacing w:before="120" w:line="360" w:lineRule="auto"/>
              <w:jc w:val="center"/>
            </w:pPr>
            <w:r w:rsidRPr="007C48CD">
              <w:t>29.18</w:t>
            </w:r>
          </w:p>
        </w:tc>
        <w:tc>
          <w:tcPr>
            <w:tcW w:w="980" w:type="dxa"/>
            <w:noWrap/>
            <w:hideMark/>
          </w:tcPr>
          <w:p w14:paraId="784801D1" w14:textId="77777777" w:rsidR="006C165A" w:rsidRPr="007C48CD" w:rsidRDefault="006C165A" w:rsidP="00F47D17">
            <w:pPr>
              <w:spacing w:before="120" w:line="360" w:lineRule="auto"/>
              <w:jc w:val="center"/>
            </w:pPr>
            <w:r w:rsidRPr="007C48CD">
              <w:t>7.426</w:t>
            </w:r>
          </w:p>
        </w:tc>
        <w:tc>
          <w:tcPr>
            <w:tcW w:w="752" w:type="dxa"/>
          </w:tcPr>
          <w:p w14:paraId="7D7AB8A4" w14:textId="77777777" w:rsidR="006C165A" w:rsidRPr="007C48CD" w:rsidRDefault="006C165A" w:rsidP="00F47D17">
            <w:pPr>
              <w:spacing w:before="120" w:line="360" w:lineRule="auto"/>
              <w:jc w:val="center"/>
            </w:pPr>
            <w:r w:rsidRPr="007C48CD">
              <w:t>3.140</w:t>
            </w:r>
          </w:p>
        </w:tc>
        <w:tc>
          <w:tcPr>
            <w:tcW w:w="880" w:type="dxa"/>
            <w:noWrap/>
            <w:hideMark/>
          </w:tcPr>
          <w:p w14:paraId="680A6662" w14:textId="77777777" w:rsidR="006C165A" w:rsidRPr="007C48CD" w:rsidRDefault="006C165A" w:rsidP="00F47D17">
            <w:pPr>
              <w:spacing w:before="120" w:line="360" w:lineRule="auto"/>
              <w:jc w:val="center"/>
            </w:pPr>
            <w:r w:rsidRPr="007C48CD">
              <w:t>0.002*</w:t>
            </w:r>
          </w:p>
        </w:tc>
      </w:tr>
      <w:tr w:rsidR="006C165A" w:rsidRPr="00B52548" w14:paraId="2380995C" w14:textId="77777777" w:rsidTr="00E7502B">
        <w:trPr>
          <w:trHeight w:hRule="exact" w:val="389"/>
        </w:trPr>
        <w:tc>
          <w:tcPr>
            <w:tcW w:w="1023" w:type="dxa"/>
            <w:noWrap/>
            <w:hideMark/>
          </w:tcPr>
          <w:p w14:paraId="0602ECA7" w14:textId="77777777" w:rsidR="006C165A" w:rsidRPr="007C48CD" w:rsidRDefault="006C165A" w:rsidP="00F47D17">
            <w:pPr>
              <w:spacing w:before="120" w:line="360" w:lineRule="auto"/>
            </w:pPr>
            <w:r w:rsidRPr="007C48CD">
              <w:t>FAS3</w:t>
            </w:r>
          </w:p>
        </w:tc>
        <w:tc>
          <w:tcPr>
            <w:tcW w:w="950" w:type="dxa"/>
            <w:noWrap/>
            <w:hideMark/>
          </w:tcPr>
          <w:p w14:paraId="393D71F3" w14:textId="77777777" w:rsidR="006C165A" w:rsidRPr="007C48CD" w:rsidRDefault="006C165A" w:rsidP="00F47D17">
            <w:pPr>
              <w:spacing w:before="120" w:line="360" w:lineRule="auto"/>
              <w:jc w:val="center"/>
            </w:pPr>
            <w:r w:rsidRPr="007C48CD">
              <w:t>39.16</w:t>
            </w:r>
          </w:p>
        </w:tc>
        <w:tc>
          <w:tcPr>
            <w:tcW w:w="980" w:type="dxa"/>
            <w:noWrap/>
            <w:hideMark/>
          </w:tcPr>
          <w:p w14:paraId="0549425C" w14:textId="77777777" w:rsidR="006C165A" w:rsidRPr="007C48CD" w:rsidRDefault="006C165A" w:rsidP="00F47D17">
            <w:pPr>
              <w:spacing w:before="120" w:line="360" w:lineRule="auto"/>
              <w:jc w:val="center"/>
            </w:pPr>
            <w:r w:rsidRPr="007C48CD">
              <w:t>13.530</w:t>
            </w:r>
          </w:p>
        </w:tc>
        <w:tc>
          <w:tcPr>
            <w:tcW w:w="960" w:type="dxa"/>
            <w:noWrap/>
            <w:hideMark/>
          </w:tcPr>
          <w:p w14:paraId="6683770C" w14:textId="77777777" w:rsidR="006C165A" w:rsidRPr="007C48CD" w:rsidRDefault="006C165A" w:rsidP="00F47D17">
            <w:pPr>
              <w:spacing w:before="120" w:line="360" w:lineRule="auto"/>
              <w:jc w:val="center"/>
            </w:pPr>
            <w:r w:rsidRPr="007C48CD">
              <w:t>32.59</w:t>
            </w:r>
          </w:p>
        </w:tc>
        <w:tc>
          <w:tcPr>
            <w:tcW w:w="980" w:type="dxa"/>
            <w:noWrap/>
            <w:hideMark/>
          </w:tcPr>
          <w:p w14:paraId="5C7AE6F7" w14:textId="77777777" w:rsidR="006C165A" w:rsidRPr="007C48CD" w:rsidRDefault="006C165A" w:rsidP="00F47D17">
            <w:pPr>
              <w:spacing w:before="120" w:line="360" w:lineRule="auto"/>
              <w:jc w:val="center"/>
            </w:pPr>
            <w:r w:rsidRPr="007C48CD">
              <w:t>7.670</w:t>
            </w:r>
          </w:p>
        </w:tc>
        <w:tc>
          <w:tcPr>
            <w:tcW w:w="752" w:type="dxa"/>
          </w:tcPr>
          <w:p w14:paraId="71FB893D" w14:textId="77777777" w:rsidR="006C165A" w:rsidRPr="007C48CD" w:rsidRDefault="006C165A" w:rsidP="00F47D17">
            <w:pPr>
              <w:spacing w:before="120" w:line="360" w:lineRule="auto"/>
              <w:jc w:val="center"/>
            </w:pPr>
            <w:r w:rsidRPr="007C48CD">
              <w:t>2.629</w:t>
            </w:r>
          </w:p>
        </w:tc>
        <w:tc>
          <w:tcPr>
            <w:tcW w:w="880" w:type="dxa"/>
            <w:noWrap/>
            <w:hideMark/>
          </w:tcPr>
          <w:p w14:paraId="59CCDE7F" w14:textId="77777777" w:rsidR="006C165A" w:rsidRPr="007C48CD" w:rsidRDefault="006C165A" w:rsidP="00F47D17">
            <w:pPr>
              <w:spacing w:before="120" w:line="360" w:lineRule="auto"/>
              <w:jc w:val="center"/>
            </w:pPr>
            <w:r w:rsidRPr="007C48CD">
              <w:t>0.010*</w:t>
            </w:r>
          </w:p>
        </w:tc>
      </w:tr>
      <w:tr w:rsidR="006C165A" w:rsidRPr="00B52548" w14:paraId="54B579BF" w14:textId="77777777" w:rsidTr="00E7502B">
        <w:trPr>
          <w:trHeight w:val="272"/>
        </w:trPr>
        <w:tc>
          <w:tcPr>
            <w:tcW w:w="1023" w:type="dxa"/>
            <w:noWrap/>
            <w:hideMark/>
          </w:tcPr>
          <w:p w14:paraId="1788357E" w14:textId="77777777" w:rsidR="006C165A" w:rsidRPr="007C48CD" w:rsidRDefault="006C165A" w:rsidP="00F47D17">
            <w:pPr>
              <w:spacing w:before="120" w:line="360" w:lineRule="auto"/>
            </w:pPr>
            <w:r w:rsidRPr="007C48CD">
              <w:t>LOGM1</w:t>
            </w:r>
          </w:p>
        </w:tc>
        <w:tc>
          <w:tcPr>
            <w:tcW w:w="950" w:type="dxa"/>
            <w:noWrap/>
            <w:hideMark/>
          </w:tcPr>
          <w:p w14:paraId="5F78D8CC" w14:textId="77777777" w:rsidR="006C165A" w:rsidRPr="007C48CD" w:rsidRDefault="006C165A" w:rsidP="00F47D17">
            <w:pPr>
              <w:spacing w:before="120" w:line="360" w:lineRule="auto"/>
              <w:jc w:val="center"/>
            </w:pPr>
            <w:r w:rsidRPr="007C48CD">
              <w:t>13.85</w:t>
            </w:r>
          </w:p>
        </w:tc>
        <w:tc>
          <w:tcPr>
            <w:tcW w:w="980" w:type="dxa"/>
            <w:noWrap/>
            <w:hideMark/>
          </w:tcPr>
          <w:p w14:paraId="3A21E287" w14:textId="77777777" w:rsidR="006C165A" w:rsidRPr="007C48CD" w:rsidRDefault="006C165A" w:rsidP="00F47D17">
            <w:pPr>
              <w:spacing w:before="120" w:line="360" w:lineRule="auto"/>
              <w:jc w:val="center"/>
            </w:pPr>
            <w:r w:rsidRPr="007C48CD">
              <w:t>4.498</w:t>
            </w:r>
          </w:p>
        </w:tc>
        <w:tc>
          <w:tcPr>
            <w:tcW w:w="960" w:type="dxa"/>
            <w:noWrap/>
            <w:hideMark/>
          </w:tcPr>
          <w:p w14:paraId="40FC1568" w14:textId="77777777" w:rsidR="006C165A" w:rsidRPr="007C48CD" w:rsidRDefault="006C165A" w:rsidP="00F47D17">
            <w:pPr>
              <w:spacing w:before="120" w:line="360" w:lineRule="auto"/>
              <w:jc w:val="center"/>
            </w:pPr>
            <w:r w:rsidRPr="007C48CD">
              <w:t>12.95</w:t>
            </w:r>
          </w:p>
        </w:tc>
        <w:tc>
          <w:tcPr>
            <w:tcW w:w="980" w:type="dxa"/>
          </w:tcPr>
          <w:p w14:paraId="21CE11BF" w14:textId="77777777" w:rsidR="006C165A" w:rsidRPr="007C48CD" w:rsidRDefault="006C165A" w:rsidP="00F47D17">
            <w:pPr>
              <w:spacing w:before="120" w:line="360" w:lineRule="auto"/>
              <w:jc w:val="center"/>
            </w:pPr>
            <w:r w:rsidRPr="007C48CD">
              <w:t>4.455</w:t>
            </w:r>
          </w:p>
        </w:tc>
        <w:tc>
          <w:tcPr>
            <w:tcW w:w="752" w:type="dxa"/>
            <w:noWrap/>
            <w:hideMark/>
          </w:tcPr>
          <w:p w14:paraId="798B937E" w14:textId="77777777" w:rsidR="006C165A" w:rsidRPr="007C48CD" w:rsidRDefault="006C165A" w:rsidP="00F47D17">
            <w:pPr>
              <w:spacing w:before="120" w:line="360" w:lineRule="auto"/>
              <w:jc w:val="center"/>
            </w:pPr>
            <w:r w:rsidRPr="007C48CD">
              <w:t>0.899</w:t>
            </w:r>
          </w:p>
        </w:tc>
        <w:tc>
          <w:tcPr>
            <w:tcW w:w="880" w:type="dxa"/>
            <w:noWrap/>
            <w:hideMark/>
          </w:tcPr>
          <w:p w14:paraId="7AA63112" w14:textId="77777777" w:rsidR="006C165A" w:rsidRPr="007C48CD" w:rsidRDefault="006C165A" w:rsidP="00F47D17">
            <w:pPr>
              <w:spacing w:before="120" w:line="360" w:lineRule="auto"/>
              <w:jc w:val="center"/>
            </w:pPr>
            <w:r w:rsidRPr="007C48CD">
              <w:t>0.371</w:t>
            </w:r>
          </w:p>
        </w:tc>
      </w:tr>
      <w:tr w:rsidR="006C165A" w:rsidRPr="00B52548" w14:paraId="710E4803" w14:textId="77777777" w:rsidTr="00E7502B">
        <w:trPr>
          <w:trHeight w:val="272"/>
        </w:trPr>
        <w:tc>
          <w:tcPr>
            <w:tcW w:w="1023" w:type="dxa"/>
            <w:noWrap/>
            <w:hideMark/>
          </w:tcPr>
          <w:p w14:paraId="510C781E" w14:textId="77777777" w:rsidR="006C165A" w:rsidRPr="007C48CD" w:rsidRDefault="006C165A" w:rsidP="00F47D17">
            <w:pPr>
              <w:spacing w:before="120" w:line="360" w:lineRule="auto"/>
            </w:pPr>
            <w:r w:rsidRPr="007C48CD">
              <w:t>LOGM2</w:t>
            </w:r>
          </w:p>
        </w:tc>
        <w:tc>
          <w:tcPr>
            <w:tcW w:w="950" w:type="dxa"/>
            <w:noWrap/>
            <w:hideMark/>
          </w:tcPr>
          <w:p w14:paraId="6668E7AB" w14:textId="77777777" w:rsidR="006C165A" w:rsidRPr="007C48CD" w:rsidRDefault="006C165A" w:rsidP="00F47D17">
            <w:pPr>
              <w:spacing w:before="120" w:line="360" w:lineRule="auto"/>
              <w:jc w:val="center"/>
            </w:pPr>
            <w:r w:rsidRPr="007C48CD">
              <w:t>14.92</w:t>
            </w:r>
          </w:p>
        </w:tc>
        <w:tc>
          <w:tcPr>
            <w:tcW w:w="980" w:type="dxa"/>
            <w:noWrap/>
            <w:hideMark/>
          </w:tcPr>
          <w:p w14:paraId="618C83FB" w14:textId="77777777" w:rsidR="006C165A" w:rsidRPr="007C48CD" w:rsidRDefault="006C165A" w:rsidP="00F47D17">
            <w:pPr>
              <w:spacing w:before="120" w:line="360" w:lineRule="auto"/>
              <w:jc w:val="center"/>
            </w:pPr>
            <w:r w:rsidRPr="007C48CD">
              <w:t>4.168</w:t>
            </w:r>
          </w:p>
        </w:tc>
        <w:tc>
          <w:tcPr>
            <w:tcW w:w="960" w:type="dxa"/>
            <w:noWrap/>
            <w:hideMark/>
          </w:tcPr>
          <w:p w14:paraId="66B00D7F" w14:textId="77777777" w:rsidR="006C165A" w:rsidRPr="007C48CD" w:rsidRDefault="006C165A" w:rsidP="00F47D17">
            <w:pPr>
              <w:spacing w:before="120" w:line="360" w:lineRule="auto"/>
              <w:jc w:val="center"/>
            </w:pPr>
            <w:r w:rsidRPr="007C48CD">
              <w:t>14.92</w:t>
            </w:r>
          </w:p>
        </w:tc>
        <w:tc>
          <w:tcPr>
            <w:tcW w:w="980" w:type="dxa"/>
          </w:tcPr>
          <w:p w14:paraId="0B02AEC3" w14:textId="77777777" w:rsidR="006C165A" w:rsidRPr="007C48CD" w:rsidRDefault="006C165A" w:rsidP="00F47D17">
            <w:pPr>
              <w:spacing w:before="120" w:line="360" w:lineRule="auto"/>
              <w:jc w:val="center"/>
            </w:pPr>
            <w:r w:rsidRPr="007C48CD">
              <w:t>3.673</w:t>
            </w:r>
          </w:p>
        </w:tc>
        <w:tc>
          <w:tcPr>
            <w:tcW w:w="752" w:type="dxa"/>
            <w:noWrap/>
            <w:hideMark/>
          </w:tcPr>
          <w:p w14:paraId="00F7185B" w14:textId="77777777" w:rsidR="006C165A" w:rsidRPr="007C48CD" w:rsidRDefault="006C165A" w:rsidP="00F47D17">
            <w:pPr>
              <w:spacing w:before="120" w:line="360" w:lineRule="auto"/>
            </w:pPr>
            <w:r w:rsidRPr="007C48CD">
              <w:t>-0.002</w:t>
            </w:r>
          </w:p>
        </w:tc>
        <w:tc>
          <w:tcPr>
            <w:tcW w:w="880" w:type="dxa"/>
            <w:noWrap/>
            <w:hideMark/>
          </w:tcPr>
          <w:p w14:paraId="226E004D" w14:textId="77777777" w:rsidR="006C165A" w:rsidRPr="007C48CD" w:rsidRDefault="006C165A" w:rsidP="00F47D17">
            <w:pPr>
              <w:spacing w:before="120" w:line="360" w:lineRule="auto"/>
              <w:jc w:val="center"/>
            </w:pPr>
            <w:r w:rsidRPr="007C48CD">
              <w:t>0.998</w:t>
            </w:r>
          </w:p>
        </w:tc>
      </w:tr>
      <w:tr w:rsidR="006C165A" w:rsidRPr="00B52548" w14:paraId="48C501E8" w14:textId="77777777" w:rsidTr="00E7502B">
        <w:trPr>
          <w:trHeight w:val="272"/>
        </w:trPr>
        <w:tc>
          <w:tcPr>
            <w:tcW w:w="1023" w:type="dxa"/>
            <w:noWrap/>
            <w:hideMark/>
          </w:tcPr>
          <w:p w14:paraId="4BED8FB7" w14:textId="77777777" w:rsidR="006C165A" w:rsidRPr="007C48CD" w:rsidRDefault="006C165A" w:rsidP="00F47D17">
            <w:pPr>
              <w:spacing w:before="120" w:line="360" w:lineRule="auto"/>
            </w:pPr>
            <w:r w:rsidRPr="007C48CD">
              <w:t>LOGM3</w:t>
            </w:r>
          </w:p>
        </w:tc>
        <w:tc>
          <w:tcPr>
            <w:tcW w:w="950" w:type="dxa"/>
            <w:noWrap/>
            <w:hideMark/>
          </w:tcPr>
          <w:p w14:paraId="73AF4202" w14:textId="77777777" w:rsidR="006C165A" w:rsidRPr="007C48CD" w:rsidRDefault="006C165A" w:rsidP="00F47D17">
            <w:pPr>
              <w:spacing w:before="120" w:line="360" w:lineRule="auto"/>
              <w:jc w:val="center"/>
            </w:pPr>
            <w:r w:rsidRPr="007C48CD">
              <w:t>15.34</w:t>
            </w:r>
          </w:p>
        </w:tc>
        <w:tc>
          <w:tcPr>
            <w:tcW w:w="980" w:type="dxa"/>
            <w:noWrap/>
            <w:hideMark/>
          </w:tcPr>
          <w:p w14:paraId="25844176" w14:textId="77777777" w:rsidR="006C165A" w:rsidRPr="007C48CD" w:rsidRDefault="006C165A" w:rsidP="00F47D17">
            <w:pPr>
              <w:spacing w:before="120" w:line="360" w:lineRule="auto"/>
              <w:jc w:val="center"/>
            </w:pPr>
            <w:r w:rsidRPr="007C48CD">
              <w:t>4.206</w:t>
            </w:r>
          </w:p>
        </w:tc>
        <w:tc>
          <w:tcPr>
            <w:tcW w:w="960" w:type="dxa"/>
            <w:noWrap/>
            <w:hideMark/>
          </w:tcPr>
          <w:p w14:paraId="5DD013B9" w14:textId="77777777" w:rsidR="006C165A" w:rsidRPr="007C48CD" w:rsidRDefault="006C165A" w:rsidP="00F47D17">
            <w:pPr>
              <w:spacing w:before="120" w:line="360" w:lineRule="auto"/>
              <w:jc w:val="center"/>
            </w:pPr>
            <w:r w:rsidRPr="007C48CD">
              <w:t>15.74</w:t>
            </w:r>
          </w:p>
        </w:tc>
        <w:tc>
          <w:tcPr>
            <w:tcW w:w="980" w:type="dxa"/>
          </w:tcPr>
          <w:p w14:paraId="12918178" w14:textId="77777777" w:rsidR="006C165A" w:rsidRPr="007C48CD" w:rsidRDefault="006C165A" w:rsidP="00F47D17">
            <w:pPr>
              <w:spacing w:before="120" w:line="360" w:lineRule="auto"/>
              <w:jc w:val="center"/>
            </w:pPr>
            <w:r w:rsidRPr="007C48CD">
              <w:t>3.492</w:t>
            </w:r>
          </w:p>
        </w:tc>
        <w:tc>
          <w:tcPr>
            <w:tcW w:w="752" w:type="dxa"/>
            <w:noWrap/>
            <w:hideMark/>
          </w:tcPr>
          <w:p w14:paraId="7320833A" w14:textId="77777777" w:rsidR="006C165A" w:rsidRPr="007C48CD" w:rsidRDefault="006C165A" w:rsidP="00F47D17">
            <w:pPr>
              <w:spacing w:before="120" w:line="360" w:lineRule="auto"/>
              <w:jc w:val="center"/>
            </w:pPr>
            <w:r w:rsidRPr="007C48CD">
              <w:t>-0.456</w:t>
            </w:r>
          </w:p>
        </w:tc>
        <w:tc>
          <w:tcPr>
            <w:tcW w:w="880" w:type="dxa"/>
            <w:noWrap/>
            <w:hideMark/>
          </w:tcPr>
          <w:p w14:paraId="41572F79" w14:textId="77777777" w:rsidR="006C165A" w:rsidRPr="007C48CD" w:rsidRDefault="006C165A" w:rsidP="00F47D17">
            <w:pPr>
              <w:spacing w:before="120" w:line="360" w:lineRule="auto"/>
              <w:jc w:val="center"/>
            </w:pPr>
            <w:r w:rsidRPr="007C48CD">
              <w:t>0.650</w:t>
            </w:r>
          </w:p>
        </w:tc>
      </w:tr>
      <w:tr w:rsidR="006C165A" w:rsidRPr="00B52548" w14:paraId="70F6CD7E" w14:textId="77777777" w:rsidTr="00E7502B">
        <w:trPr>
          <w:trHeight w:val="272"/>
        </w:trPr>
        <w:tc>
          <w:tcPr>
            <w:tcW w:w="1023" w:type="dxa"/>
            <w:noWrap/>
            <w:hideMark/>
          </w:tcPr>
          <w:p w14:paraId="48E71006" w14:textId="77777777" w:rsidR="006C165A" w:rsidRPr="007C48CD" w:rsidRDefault="006C165A" w:rsidP="00F47D17">
            <w:pPr>
              <w:spacing w:before="120" w:line="360" w:lineRule="auto"/>
            </w:pPr>
            <w:r w:rsidRPr="007C48CD">
              <w:t>LOGD1</w:t>
            </w:r>
          </w:p>
        </w:tc>
        <w:tc>
          <w:tcPr>
            <w:tcW w:w="950" w:type="dxa"/>
            <w:noWrap/>
            <w:hideMark/>
          </w:tcPr>
          <w:p w14:paraId="635EA1DA" w14:textId="77777777" w:rsidR="006C165A" w:rsidRPr="007C48CD" w:rsidRDefault="006C165A" w:rsidP="00F47D17">
            <w:pPr>
              <w:spacing w:before="120" w:line="360" w:lineRule="auto"/>
              <w:jc w:val="center"/>
            </w:pPr>
            <w:r w:rsidRPr="007C48CD">
              <w:t>13.26</w:t>
            </w:r>
          </w:p>
        </w:tc>
        <w:tc>
          <w:tcPr>
            <w:tcW w:w="980" w:type="dxa"/>
            <w:noWrap/>
            <w:hideMark/>
          </w:tcPr>
          <w:p w14:paraId="407402B6" w14:textId="77777777" w:rsidR="006C165A" w:rsidRPr="007C48CD" w:rsidRDefault="006C165A" w:rsidP="00F47D17">
            <w:pPr>
              <w:spacing w:before="120" w:line="360" w:lineRule="auto"/>
              <w:jc w:val="center"/>
            </w:pPr>
            <w:r w:rsidRPr="007C48CD">
              <w:t>4.996</w:t>
            </w:r>
          </w:p>
        </w:tc>
        <w:tc>
          <w:tcPr>
            <w:tcW w:w="960" w:type="dxa"/>
            <w:noWrap/>
            <w:hideMark/>
          </w:tcPr>
          <w:p w14:paraId="3D98C3C7" w14:textId="77777777" w:rsidR="006C165A" w:rsidRPr="007C48CD" w:rsidRDefault="006C165A" w:rsidP="00F47D17">
            <w:pPr>
              <w:spacing w:before="120" w:line="360" w:lineRule="auto"/>
              <w:jc w:val="center"/>
            </w:pPr>
            <w:r w:rsidRPr="007C48CD">
              <w:t>11.85</w:t>
            </w:r>
          </w:p>
        </w:tc>
        <w:tc>
          <w:tcPr>
            <w:tcW w:w="980" w:type="dxa"/>
          </w:tcPr>
          <w:p w14:paraId="289B83F5" w14:textId="77777777" w:rsidR="006C165A" w:rsidRPr="007C48CD" w:rsidRDefault="006C165A" w:rsidP="00F47D17">
            <w:pPr>
              <w:spacing w:before="120" w:line="360" w:lineRule="auto"/>
              <w:jc w:val="center"/>
            </w:pPr>
            <w:r w:rsidRPr="007C48CD">
              <w:t>5.107</w:t>
            </w:r>
          </w:p>
        </w:tc>
        <w:tc>
          <w:tcPr>
            <w:tcW w:w="752" w:type="dxa"/>
            <w:noWrap/>
            <w:hideMark/>
          </w:tcPr>
          <w:p w14:paraId="71221F99" w14:textId="77777777" w:rsidR="006C165A" w:rsidRPr="007C48CD" w:rsidRDefault="006C165A" w:rsidP="00F47D17">
            <w:pPr>
              <w:spacing w:before="120" w:line="360" w:lineRule="auto"/>
              <w:jc w:val="center"/>
            </w:pPr>
            <w:r w:rsidRPr="007C48CD">
              <w:t>1.235</w:t>
            </w:r>
          </w:p>
        </w:tc>
        <w:tc>
          <w:tcPr>
            <w:tcW w:w="880" w:type="dxa"/>
            <w:noWrap/>
            <w:hideMark/>
          </w:tcPr>
          <w:p w14:paraId="4523295E" w14:textId="77777777" w:rsidR="006C165A" w:rsidRPr="007C48CD" w:rsidRDefault="006C165A" w:rsidP="00F47D17">
            <w:pPr>
              <w:spacing w:before="120" w:line="360" w:lineRule="auto"/>
              <w:jc w:val="center"/>
            </w:pPr>
            <w:r w:rsidRPr="007C48CD">
              <w:t>0.221</w:t>
            </w:r>
          </w:p>
        </w:tc>
      </w:tr>
      <w:tr w:rsidR="006C165A" w:rsidRPr="00B52548" w14:paraId="12A33705" w14:textId="77777777" w:rsidTr="00E7502B">
        <w:trPr>
          <w:trHeight w:val="272"/>
        </w:trPr>
        <w:tc>
          <w:tcPr>
            <w:tcW w:w="1023" w:type="dxa"/>
            <w:noWrap/>
            <w:hideMark/>
          </w:tcPr>
          <w:p w14:paraId="47364C84" w14:textId="77777777" w:rsidR="006C165A" w:rsidRPr="007C48CD" w:rsidRDefault="006C165A" w:rsidP="00F47D17">
            <w:pPr>
              <w:spacing w:before="120" w:line="360" w:lineRule="auto"/>
            </w:pPr>
            <w:r w:rsidRPr="007C48CD">
              <w:t>LOGD2</w:t>
            </w:r>
          </w:p>
        </w:tc>
        <w:tc>
          <w:tcPr>
            <w:tcW w:w="950" w:type="dxa"/>
            <w:noWrap/>
            <w:hideMark/>
          </w:tcPr>
          <w:p w14:paraId="0922339B" w14:textId="77777777" w:rsidR="006C165A" w:rsidRPr="007C48CD" w:rsidRDefault="006C165A" w:rsidP="00F47D17">
            <w:pPr>
              <w:spacing w:before="120" w:line="360" w:lineRule="auto"/>
              <w:jc w:val="center"/>
            </w:pPr>
            <w:r w:rsidRPr="007C48CD">
              <w:t>14.22</w:t>
            </w:r>
          </w:p>
        </w:tc>
        <w:tc>
          <w:tcPr>
            <w:tcW w:w="980" w:type="dxa"/>
            <w:noWrap/>
            <w:hideMark/>
          </w:tcPr>
          <w:p w14:paraId="00227803" w14:textId="77777777" w:rsidR="006C165A" w:rsidRPr="007C48CD" w:rsidRDefault="006C165A" w:rsidP="00F47D17">
            <w:pPr>
              <w:spacing w:before="120" w:line="360" w:lineRule="auto"/>
              <w:jc w:val="center"/>
            </w:pPr>
            <w:r w:rsidRPr="007C48CD">
              <w:t>4.758</w:t>
            </w:r>
          </w:p>
        </w:tc>
        <w:tc>
          <w:tcPr>
            <w:tcW w:w="960" w:type="dxa"/>
            <w:noWrap/>
            <w:hideMark/>
          </w:tcPr>
          <w:p w14:paraId="4562AF21" w14:textId="77777777" w:rsidR="006C165A" w:rsidRPr="007C48CD" w:rsidRDefault="006C165A" w:rsidP="00F47D17">
            <w:pPr>
              <w:spacing w:before="120" w:line="360" w:lineRule="auto"/>
              <w:jc w:val="center"/>
            </w:pPr>
            <w:r w:rsidRPr="007C48CD">
              <w:t>12.85</w:t>
            </w:r>
          </w:p>
        </w:tc>
        <w:tc>
          <w:tcPr>
            <w:tcW w:w="980" w:type="dxa"/>
          </w:tcPr>
          <w:p w14:paraId="75E56CFD" w14:textId="77777777" w:rsidR="006C165A" w:rsidRPr="007C48CD" w:rsidRDefault="006C165A" w:rsidP="00F47D17">
            <w:pPr>
              <w:spacing w:before="120" w:line="360" w:lineRule="auto"/>
              <w:jc w:val="center"/>
            </w:pPr>
            <w:r w:rsidRPr="007C48CD">
              <w:t>4.534</w:t>
            </w:r>
          </w:p>
        </w:tc>
        <w:tc>
          <w:tcPr>
            <w:tcW w:w="752" w:type="dxa"/>
            <w:noWrap/>
            <w:hideMark/>
          </w:tcPr>
          <w:p w14:paraId="7D9312A1" w14:textId="77777777" w:rsidR="006C165A" w:rsidRPr="007C48CD" w:rsidRDefault="006C165A" w:rsidP="00F47D17">
            <w:pPr>
              <w:spacing w:before="120" w:line="360" w:lineRule="auto"/>
              <w:jc w:val="center"/>
            </w:pPr>
            <w:r w:rsidRPr="007C48CD">
              <w:t>1.282</w:t>
            </w:r>
          </w:p>
        </w:tc>
        <w:tc>
          <w:tcPr>
            <w:tcW w:w="880" w:type="dxa"/>
            <w:noWrap/>
            <w:hideMark/>
          </w:tcPr>
          <w:p w14:paraId="0E3E99E9" w14:textId="77777777" w:rsidR="006C165A" w:rsidRPr="007C48CD" w:rsidRDefault="006C165A" w:rsidP="00F47D17">
            <w:pPr>
              <w:spacing w:before="120" w:line="360" w:lineRule="auto"/>
              <w:jc w:val="center"/>
            </w:pPr>
            <w:r w:rsidRPr="007C48CD">
              <w:t>0.204</w:t>
            </w:r>
          </w:p>
        </w:tc>
      </w:tr>
      <w:tr w:rsidR="006C165A" w:rsidRPr="00B52548" w14:paraId="56C2109C" w14:textId="77777777" w:rsidTr="00E7502B">
        <w:trPr>
          <w:trHeight w:val="272"/>
        </w:trPr>
        <w:tc>
          <w:tcPr>
            <w:tcW w:w="1023" w:type="dxa"/>
            <w:noWrap/>
            <w:hideMark/>
          </w:tcPr>
          <w:p w14:paraId="1A827736" w14:textId="77777777" w:rsidR="006C165A" w:rsidRPr="007C48CD" w:rsidRDefault="006C165A" w:rsidP="00F47D17">
            <w:pPr>
              <w:spacing w:before="120" w:line="360" w:lineRule="auto"/>
            </w:pPr>
            <w:r w:rsidRPr="007C48CD">
              <w:t>LOGD3</w:t>
            </w:r>
          </w:p>
        </w:tc>
        <w:tc>
          <w:tcPr>
            <w:tcW w:w="950" w:type="dxa"/>
            <w:noWrap/>
            <w:hideMark/>
          </w:tcPr>
          <w:p w14:paraId="1A241588" w14:textId="77777777" w:rsidR="006C165A" w:rsidRPr="007C48CD" w:rsidRDefault="006C165A" w:rsidP="00F47D17">
            <w:pPr>
              <w:spacing w:before="120" w:line="360" w:lineRule="auto"/>
              <w:jc w:val="center"/>
            </w:pPr>
            <w:r w:rsidRPr="007C48CD">
              <w:t>14.50</w:t>
            </w:r>
          </w:p>
        </w:tc>
        <w:tc>
          <w:tcPr>
            <w:tcW w:w="980" w:type="dxa"/>
            <w:noWrap/>
            <w:hideMark/>
          </w:tcPr>
          <w:p w14:paraId="755ABDBF" w14:textId="77777777" w:rsidR="006C165A" w:rsidRPr="007C48CD" w:rsidRDefault="006C165A" w:rsidP="00F47D17">
            <w:pPr>
              <w:spacing w:before="120" w:line="360" w:lineRule="auto"/>
              <w:jc w:val="center"/>
            </w:pPr>
            <w:r w:rsidRPr="007C48CD">
              <w:t>4.730</w:t>
            </w:r>
          </w:p>
        </w:tc>
        <w:tc>
          <w:tcPr>
            <w:tcW w:w="960" w:type="dxa"/>
            <w:noWrap/>
            <w:hideMark/>
          </w:tcPr>
          <w:p w14:paraId="352E4332" w14:textId="77777777" w:rsidR="006C165A" w:rsidRPr="007C48CD" w:rsidRDefault="006C165A" w:rsidP="00F47D17">
            <w:pPr>
              <w:spacing w:before="120" w:line="360" w:lineRule="auto"/>
              <w:jc w:val="center"/>
            </w:pPr>
            <w:r w:rsidRPr="007C48CD">
              <w:t>13.72</w:t>
            </w:r>
          </w:p>
        </w:tc>
        <w:tc>
          <w:tcPr>
            <w:tcW w:w="980" w:type="dxa"/>
          </w:tcPr>
          <w:p w14:paraId="4AD4A3EA" w14:textId="77777777" w:rsidR="006C165A" w:rsidRPr="007C48CD" w:rsidRDefault="006C165A" w:rsidP="00F47D17">
            <w:pPr>
              <w:spacing w:before="120" w:line="360" w:lineRule="auto"/>
              <w:jc w:val="center"/>
            </w:pPr>
            <w:r w:rsidRPr="007C48CD">
              <w:t>4.377</w:t>
            </w:r>
          </w:p>
        </w:tc>
        <w:tc>
          <w:tcPr>
            <w:tcW w:w="752" w:type="dxa"/>
            <w:noWrap/>
            <w:hideMark/>
          </w:tcPr>
          <w:p w14:paraId="5AA11E2D" w14:textId="77777777" w:rsidR="006C165A" w:rsidRPr="007C48CD" w:rsidRDefault="006C165A" w:rsidP="00F47D17">
            <w:pPr>
              <w:spacing w:before="120" w:line="360" w:lineRule="auto"/>
              <w:jc w:val="center"/>
            </w:pPr>
            <w:r w:rsidRPr="007C48CD">
              <w:t>0.744</w:t>
            </w:r>
          </w:p>
        </w:tc>
        <w:tc>
          <w:tcPr>
            <w:tcW w:w="880" w:type="dxa"/>
            <w:noWrap/>
            <w:hideMark/>
          </w:tcPr>
          <w:p w14:paraId="720F79D7" w14:textId="77777777" w:rsidR="006C165A" w:rsidRPr="007C48CD" w:rsidRDefault="006C165A" w:rsidP="00F47D17">
            <w:pPr>
              <w:spacing w:before="120" w:line="360" w:lineRule="auto"/>
              <w:jc w:val="center"/>
            </w:pPr>
            <w:r w:rsidRPr="007C48CD">
              <w:t>0.459</w:t>
            </w:r>
          </w:p>
        </w:tc>
      </w:tr>
    </w:tbl>
    <w:p w14:paraId="6E0412E6" w14:textId="355FE2EC" w:rsidR="006C165A" w:rsidRDefault="006C165A" w:rsidP="00B3583E">
      <w:pPr>
        <w:spacing w:after="240" w:line="360" w:lineRule="auto"/>
        <w:rPr>
          <w:rFonts w:ascii="Times New Roman" w:hAnsi="Times New Roman" w:cs="Times New Roman"/>
          <w:i/>
          <w:sz w:val="16"/>
          <w:szCs w:val="16"/>
        </w:rPr>
      </w:pPr>
      <w:r w:rsidRPr="007C48CD">
        <w:rPr>
          <w:rFonts w:ascii="Times New Roman" w:hAnsi="Times New Roman" w:cs="Times New Roman"/>
          <w:i/>
          <w:sz w:val="16"/>
          <w:szCs w:val="16"/>
        </w:rPr>
        <w:t>*</w:t>
      </w:r>
      <w:r w:rsidR="00B3730F" w:rsidRPr="007C48CD">
        <w:rPr>
          <w:rFonts w:ascii="Times New Roman" w:hAnsi="Times New Roman" w:cs="Times New Roman"/>
          <w:i/>
          <w:sz w:val="16"/>
          <w:szCs w:val="16"/>
        </w:rPr>
        <w:t>Significant</w:t>
      </w:r>
    </w:p>
    <w:p w14:paraId="002818B0" w14:textId="77777777" w:rsidR="001B5381" w:rsidRPr="007C48CD" w:rsidRDefault="001B5381" w:rsidP="006C165A">
      <w:pPr>
        <w:spacing w:after="240" w:line="360" w:lineRule="auto"/>
        <w:ind w:firstLine="720"/>
        <w:rPr>
          <w:rFonts w:ascii="Times New Roman" w:hAnsi="Times New Roman" w:cs="Times New Roman"/>
          <w:i/>
          <w:sz w:val="16"/>
          <w:szCs w:val="16"/>
        </w:rPr>
      </w:pPr>
    </w:p>
    <w:p w14:paraId="0320F567" w14:textId="77777777" w:rsidR="00585BB3" w:rsidRDefault="00585BB3" w:rsidP="00F1194A">
      <w:pPr>
        <w:spacing w:after="0" w:line="360" w:lineRule="auto"/>
        <w:rPr>
          <w:rFonts w:ascii="Times New Roman" w:hAnsi="Times New Roman" w:cs="Times New Roman"/>
          <w:sz w:val="24"/>
          <w:szCs w:val="24"/>
        </w:rPr>
      </w:pPr>
    </w:p>
    <w:p w14:paraId="40F0AC2C" w14:textId="6D702AA5" w:rsidR="00482AB4" w:rsidRPr="00B52548" w:rsidRDefault="00F1194A" w:rsidP="00F1194A">
      <w:pPr>
        <w:spacing w:after="0" w:line="360" w:lineRule="auto"/>
        <w:rPr>
          <w:rFonts w:ascii="Times New Roman" w:hAnsi="Times New Roman" w:cs="Times New Roman"/>
          <w:sz w:val="24"/>
          <w:szCs w:val="24"/>
        </w:rPr>
      </w:pPr>
      <w:r w:rsidRPr="00B52548">
        <w:rPr>
          <w:rFonts w:ascii="Times New Roman" w:hAnsi="Times New Roman" w:cs="Times New Roman"/>
          <w:sz w:val="24"/>
          <w:szCs w:val="24"/>
        </w:rPr>
        <w:lastRenderedPageBreak/>
        <w:t xml:space="preserve">Figure </w:t>
      </w:r>
      <w:r w:rsidR="008E04F1">
        <w:rPr>
          <w:rFonts w:ascii="Times New Roman" w:hAnsi="Times New Roman" w:cs="Times New Roman"/>
          <w:sz w:val="24"/>
          <w:szCs w:val="24"/>
        </w:rPr>
        <w:t>3:</w:t>
      </w:r>
      <w:r w:rsidRPr="00B52548">
        <w:rPr>
          <w:rFonts w:ascii="Times New Roman" w:hAnsi="Times New Roman" w:cs="Times New Roman"/>
          <w:i/>
          <w:sz w:val="24"/>
          <w:szCs w:val="24"/>
        </w:rPr>
        <w:t xml:space="preserve"> </w:t>
      </w:r>
      <w:r w:rsidRPr="00B52548">
        <w:rPr>
          <w:rFonts w:ascii="Times New Roman" w:hAnsi="Times New Roman" w:cs="Times New Roman"/>
          <w:sz w:val="24"/>
          <w:szCs w:val="24"/>
        </w:rPr>
        <w:t xml:space="preserve">Group Comparison for Digit Vigilance Test at Discharge and Follow UPS </w:t>
      </w:r>
    </w:p>
    <w:p w14:paraId="1DBAE2A8" w14:textId="77777777" w:rsidR="00B13409" w:rsidRDefault="006C165A" w:rsidP="00B13409">
      <w:pPr>
        <w:spacing w:line="360" w:lineRule="auto"/>
        <w:jc w:val="center"/>
        <w:rPr>
          <w:rFonts w:ascii="Times New Roman" w:hAnsi="Times New Roman" w:cs="Times New Roman"/>
          <w:sz w:val="24"/>
          <w:szCs w:val="24"/>
        </w:rPr>
      </w:pPr>
      <w:r w:rsidRPr="00B52548">
        <w:rPr>
          <w:rFonts w:ascii="Times New Roman" w:hAnsi="Times New Roman" w:cs="Times New Roman"/>
          <w:noProof/>
          <w:sz w:val="24"/>
          <w:szCs w:val="24"/>
        </w:rPr>
        <w:drawing>
          <wp:inline distT="0" distB="0" distL="0" distR="0" wp14:anchorId="5C6AE449" wp14:editId="770F2F51">
            <wp:extent cx="2684399" cy="1779902"/>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0083" cy="1796932"/>
                    </a:xfrm>
                    <a:prstGeom prst="rect">
                      <a:avLst/>
                    </a:prstGeom>
                    <a:noFill/>
                  </pic:spPr>
                </pic:pic>
              </a:graphicData>
            </a:graphic>
          </wp:inline>
        </w:drawing>
      </w:r>
    </w:p>
    <w:p w14:paraId="584ED8A2" w14:textId="75016D4A" w:rsidR="006C165A" w:rsidRPr="00B13409" w:rsidRDefault="006C165A" w:rsidP="00B13409">
      <w:pPr>
        <w:spacing w:line="360" w:lineRule="auto"/>
        <w:jc w:val="center"/>
        <w:rPr>
          <w:rFonts w:ascii="Times New Roman" w:hAnsi="Times New Roman" w:cs="Times New Roman"/>
          <w:sz w:val="24"/>
          <w:szCs w:val="24"/>
        </w:rPr>
      </w:pPr>
      <w:r w:rsidRPr="00B13409">
        <w:rPr>
          <w:rFonts w:ascii="Times New Roman" w:hAnsi="Times New Roman" w:cs="Times New Roman"/>
          <w:i/>
          <w:sz w:val="16"/>
          <w:szCs w:val="16"/>
        </w:rPr>
        <w:t>DVT1-DVT at discharge</w:t>
      </w:r>
      <w:r w:rsidR="00BA2DCE" w:rsidRPr="00B13409">
        <w:rPr>
          <w:rFonts w:ascii="Times New Roman" w:hAnsi="Times New Roman" w:cs="Times New Roman"/>
          <w:i/>
          <w:sz w:val="16"/>
          <w:szCs w:val="16"/>
        </w:rPr>
        <w:t>;</w:t>
      </w:r>
      <w:r w:rsidRPr="00B13409">
        <w:rPr>
          <w:rFonts w:ascii="Times New Roman" w:hAnsi="Times New Roman" w:cs="Times New Roman"/>
          <w:i/>
          <w:sz w:val="16"/>
          <w:szCs w:val="16"/>
        </w:rPr>
        <w:t xml:space="preserve"> DVT2-DVT score at 3rd month follow up;</w:t>
      </w:r>
      <w:r w:rsidR="000D3A5A" w:rsidRPr="00B13409">
        <w:rPr>
          <w:rFonts w:ascii="Times New Roman" w:hAnsi="Times New Roman" w:cs="Times New Roman"/>
          <w:i/>
          <w:sz w:val="16"/>
          <w:szCs w:val="16"/>
        </w:rPr>
        <w:t xml:space="preserve"> </w:t>
      </w:r>
      <w:r w:rsidRPr="00B13409">
        <w:rPr>
          <w:rFonts w:ascii="Times New Roman" w:hAnsi="Times New Roman" w:cs="Times New Roman"/>
          <w:i/>
          <w:sz w:val="16"/>
          <w:szCs w:val="16"/>
        </w:rPr>
        <w:t>DVT3</w:t>
      </w:r>
      <w:r w:rsidR="00B3730F" w:rsidRPr="00B13409">
        <w:rPr>
          <w:rFonts w:ascii="Times New Roman" w:hAnsi="Times New Roman" w:cs="Times New Roman"/>
          <w:i/>
          <w:sz w:val="16"/>
          <w:szCs w:val="16"/>
        </w:rPr>
        <w:t xml:space="preserve">- </w:t>
      </w:r>
      <w:proofErr w:type="gramStart"/>
      <w:r w:rsidR="00B3730F" w:rsidRPr="00B13409">
        <w:rPr>
          <w:rFonts w:ascii="Times New Roman" w:hAnsi="Times New Roman" w:cs="Times New Roman"/>
          <w:i/>
          <w:sz w:val="16"/>
          <w:szCs w:val="16"/>
        </w:rPr>
        <w:t>DVT</w:t>
      </w:r>
      <w:r w:rsidRPr="00B13409">
        <w:rPr>
          <w:rFonts w:ascii="Times New Roman" w:hAnsi="Times New Roman" w:cs="Times New Roman"/>
          <w:i/>
          <w:sz w:val="16"/>
          <w:szCs w:val="16"/>
        </w:rPr>
        <w:t xml:space="preserve">  at</w:t>
      </w:r>
      <w:proofErr w:type="gramEnd"/>
      <w:r w:rsidRPr="00B13409">
        <w:rPr>
          <w:rFonts w:ascii="Times New Roman" w:hAnsi="Times New Roman" w:cs="Times New Roman"/>
          <w:i/>
          <w:sz w:val="16"/>
          <w:szCs w:val="16"/>
        </w:rPr>
        <w:t xml:space="preserve"> 6th month follow up</w:t>
      </w:r>
    </w:p>
    <w:p w14:paraId="0775AADB" w14:textId="77777777" w:rsidR="00B13409" w:rsidRDefault="00B13409" w:rsidP="0050284B">
      <w:pPr>
        <w:spacing w:after="0" w:line="360" w:lineRule="auto"/>
        <w:jc w:val="both"/>
        <w:rPr>
          <w:rFonts w:ascii="Times New Roman" w:hAnsi="Times New Roman" w:cs="Times New Roman"/>
          <w:sz w:val="24"/>
          <w:szCs w:val="24"/>
        </w:rPr>
      </w:pPr>
      <w:bookmarkStart w:id="1" w:name="OLE_LINK1"/>
      <w:bookmarkStart w:id="2" w:name="OLE_LINK2"/>
    </w:p>
    <w:p w14:paraId="38BE7CA4" w14:textId="77777777" w:rsidR="00585BB3" w:rsidRDefault="00585BB3" w:rsidP="0050284B">
      <w:pPr>
        <w:spacing w:after="0" w:line="360" w:lineRule="auto"/>
        <w:jc w:val="both"/>
        <w:rPr>
          <w:rFonts w:ascii="Times New Roman" w:hAnsi="Times New Roman" w:cs="Times New Roman"/>
          <w:sz w:val="24"/>
          <w:szCs w:val="24"/>
        </w:rPr>
      </w:pPr>
    </w:p>
    <w:p w14:paraId="35081D32" w14:textId="77777777" w:rsidR="00585BB3" w:rsidRDefault="00585BB3" w:rsidP="0050284B">
      <w:pPr>
        <w:spacing w:after="0" w:line="360" w:lineRule="auto"/>
        <w:jc w:val="both"/>
        <w:rPr>
          <w:rFonts w:ascii="Times New Roman" w:hAnsi="Times New Roman" w:cs="Times New Roman"/>
          <w:sz w:val="24"/>
          <w:szCs w:val="24"/>
        </w:rPr>
      </w:pPr>
    </w:p>
    <w:p w14:paraId="39C47AFC" w14:textId="77777777" w:rsidR="00585BB3" w:rsidRDefault="00585BB3" w:rsidP="0050284B">
      <w:pPr>
        <w:spacing w:after="0" w:line="360" w:lineRule="auto"/>
        <w:jc w:val="both"/>
        <w:rPr>
          <w:rFonts w:ascii="Times New Roman" w:hAnsi="Times New Roman" w:cs="Times New Roman"/>
          <w:sz w:val="24"/>
          <w:szCs w:val="24"/>
        </w:rPr>
      </w:pPr>
    </w:p>
    <w:p w14:paraId="6EBAFF4A" w14:textId="77777777" w:rsidR="00585BB3" w:rsidRDefault="00585BB3" w:rsidP="0050284B">
      <w:pPr>
        <w:spacing w:after="0" w:line="360" w:lineRule="auto"/>
        <w:jc w:val="both"/>
        <w:rPr>
          <w:rFonts w:ascii="Times New Roman" w:hAnsi="Times New Roman" w:cs="Times New Roman"/>
          <w:sz w:val="24"/>
          <w:szCs w:val="24"/>
        </w:rPr>
      </w:pPr>
    </w:p>
    <w:p w14:paraId="457AF94F" w14:textId="77777777" w:rsidR="00585BB3" w:rsidRDefault="00585BB3" w:rsidP="0050284B">
      <w:pPr>
        <w:spacing w:after="0" w:line="360" w:lineRule="auto"/>
        <w:jc w:val="both"/>
        <w:rPr>
          <w:rFonts w:ascii="Times New Roman" w:hAnsi="Times New Roman" w:cs="Times New Roman"/>
          <w:sz w:val="24"/>
          <w:szCs w:val="24"/>
        </w:rPr>
      </w:pPr>
    </w:p>
    <w:p w14:paraId="3C4B48EB" w14:textId="77777777" w:rsidR="00585BB3" w:rsidRDefault="00585BB3" w:rsidP="0050284B">
      <w:pPr>
        <w:spacing w:after="0" w:line="360" w:lineRule="auto"/>
        <w:jc w:val="both"/>
        <w:rPr>
          <w:rFonts w:ascii="Times New Roman" w:hAnsi="Times New Roman" w:cs="Times New Roman"/>
          <w:sz w:val="24"/>
          <w:szCs w:val="24"/>
        </w:rPr>
      </w:pPr>
    </w:p>
    <w:p w14:paraId="4B283117" w14:textId="19BB2A1D" w:rsidR="00E7502B" w:rsidRPr="00B52548" w:rsidRDefault="008D0330" w:rsidP="0050284B">
      <w:pPr>
        <w:spacing w:after="0" w:line="360" w:lineRule="auto"/>
        <w:jc w:val="both"/>
        <w:rPr>
          <w:rFonts w:ascii="Times New Roman" w:hAnsi="Times New Roman" w:cs="Times New Roman"/>
          <w:sz w:val="24"/>
          <w:szCs w:val="24"/>
        </w:rPr>
      </w:pPr>
      <w:r w:rsidRPr="00B52548">
        <w:rPr>
          <w:rFonts w:ascii="Times New Roman" w:hAnsi="Times New Roman" w:cs="Times New Roman"/>
          <w:sz w:val="24"/>
          <w:szCs w:val="24"/>
        </w:rPr>
        <w:t xml:space="preserve">Figure </w:t>
      </w:r>
      <w:r w:rsidR="008E04F1">
        <w:rPr>
          <w:rFonts w:ascii="Times New Roman" w:hAnsi="Times New Roman" w:cs="Times New Roman"/>
          <w:sz w:val="24"/>
          <w:szCs w:val="24"/>
        </w:rPr>
        <w:t>4</w:t>
      </w:r>
      <w:r w:rsidRPr="00B52548">
        <w:rPr>
          <w:rFonts w:ascii="Times New Roman" w:hAnsi="Times New Roman" w:cs="Times New Roman"/>
          <w:sz w:val="24"/>
          <w:szCs w:val="24"/>
        </w:rPr>
        <w:t>: Group Comparison for COWAT-FAS Test</w:t>
      </w:r>
    </w:p>
    <w:bookmarkEnd w:id="1"/>
    <w:bookmarkEnd w:id="2"/>
    <w:p w14:paraId="22BAB757" w14:textId="77777777" w:rsidR="00B13409" w:rsidRDefault="006C165A" w:rsidP="00B13409">
      <w:pPr>
        <w:spacing w:line="360" w:lineRule="auto"/>
        <w:jc w:val="center"/>
        <w:rPr>
          <w:rFonts w:ascii="Times New Roman" w:hAnsi="Times New Roman" w:cs="Times New Roman"/>
          <w:i/>
          <w:sz w:val="24"/>
          <w:szCs w:val="24"/>
        </w:rPr>
      </w:pPr>
      <w:r w:rsidRPr="00B52548">
        <w:rPr>
          <w:rFonts w:ascii="Times New Roman" w:hAnsi="Times New Roman" w:cs="Times New Roman"/>
          <w:noProof/>
          <w:sz w:val="24"/>
          <w:szCs w:val="24"/>
        </w:rPr>
        <w:drawing>
          <wp:inline distT="0" distB="0" distL="0" distR="0" wp14:anchorId="12327321" wp14:editId="2444BEF2">
            <wp:extent cx="2602992" cy="1842135"/>
            <wp:effectExtent l="0" t="0" r="698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21608" cy="1926079"/>
                    </a:xfrm>
                    <a:prstGeom prst="rect">
                      <a:avLst/>
                    </a:prstGeom>
                    <a:noFill/>
                  </pic:spPr>
                </pic:pic>
              </a:graphicData>
            </a:graphic>
          </wp:inline>
        </w:drawing>
      </w:r>
    </w:p>
    <w:p w14:paraId="2CD77A85" w14:textId="7CA8EA68" w:rsidR="00AF5FEF" w:rsidRPr="00B13409" w:rsidRDefault="006C165A" w:rsidP="00B13409">
      <w:pPr>
        <w:spacing w:line="360" w:lineRule="auto"/>
        <w:jc w:val="center"/>
        <w:rPr>
          <w:rFonts w:ascii="Times New Roman" w:hAnsi="Times New Roman" w:cs="Times New Roman"/>
          <w:i/>
          <w:sz w:val="24"/>
          <w:szCs w:val="24"/>
        </w:rPr>
      </w:pPr>
      <w:r w:rsidRPr="00B13409">
        <w:rPr>
          <w:rFonts w:ascii="Times New Roman" w:hAnsi="Times New Roman" w:cs="Times New Roman"/>
          <w:i/>
          <w:sz w:val="16"/>
          <w:szCs w:val="16"/>
        </w:rPr>
        <w:t>(FAS1-</w:t>
      </w:r>
      <w:r w:rsidR="002C6FFD" w:rsidRPr="00B13409">
        <w:rPr>
          <w:rFonts w:ascii="Times New Roman" w:hAnsi="Times New Roman" w:cs="Times New Roman"/>
          <w:i/>
          <w:sz w:val="16"/>
          <w:szCs w:val="16"/>
        </w:rPr>
        <w:t xml:space="preserve"> FAS </w:t>
      </w:r>
      <w:r w:rsidRPr="00B13409">
        <w:rPr>
          <w:rFonts w:ascii="Times New Roman" w:hAnsi="Times New Roman" w:cs="Times New Roman"/>
          <w:i/>
          <w:sz w:val="16"/>
          <w:szCs w:val="16"/>
        </w:rPr>
        <w:t xml:space="preserve">at </w:t>
      </w:r>
      <w:r w:rsidR="00B3730F" w:rsidRPr="00B13409">
        <w:rPr>
          <w:rFonts w:ascii="Times New Roman" w:hAnsi="Times New Roman" w:cs="Times New Roman"/>
          <w:i/>
          <w:sz w:val="16"/>
          <w:szCs w:val="16"/>
        </w:rPr>
        <w:t>discharge, FAS</w:t>
      </w:r>
      <w:r w:rsidRPr="00B13409">
        <w:rPr>
          <w:rFonts w:ascii="Times New Roman" w:hAnsi="Times New Roman" w:cs="Times New Roman"/>
          <w:i/>
          <w:sz w:val="16"/>
          <w:szCs w:val="16"/>
        </w:rPr>
        <w:t xml:space="preserve">2-FAS score at 3rd month follow </w:t>
      </w:r>
      <w:proofErr w:type="gramStart"/>
      <w:r w:rsidRPr="00B13409">
        <w:rPr>
          <w:rFonts w:ascii="Times New Roman" w:hAnsi="Times New Roman" w:cs="Times New Roman"/>
          <w:i/>
          <w:sz w:val="16"/>
          <w:szCs w:val="16"/>
        </w:rPr>
        <w:t>up;FAS</w:t>
      </w:r>
      <w:proofErr w:type="gramEnd"/>
      <w:r w:rsidRPr="00B13409">
        <w:rPr>
          <w:rFonts w:ascii="Times New Roman" w:hAnsi="Times New Roman" w:cs="Times New Roman"/>
          <w:i/>
          <w:sz w:val="16"/>
          <w:szCs w:val="16"/>
        </w:rPr>
        <w:t>3-FAS  at 6th month follow up).</w:t>
      </w:r>
    </w:p>
    <w:p w14:paraId="6CEA06C3" w14:textId="77777777" w:rsidR="00B13409" w:rsidRDefault="00B13409" w:rsidP="00B52548">
      <w:pPr>
        <w:spacing w:line="360" w:lineRule="auto"/>
        <w:rPr>
          <w:rFonts w:ascii="Times New Roman" w:hAnsi="Times New Roman" w:cs="Times New Roman"/>
          <w:sz w:val="24"/>
          <w:szCs w:val="24"/>
        </w:rPr>
      </w:pPr>
    </w:p>
    <w:p w14:paraId="075F4024" w14:textId="77777777" w:rsidR="00E7502B" w:rsidRDefault="00E7502B" w:rsidP="00B52548">
      <w:pPr>
        <w:spacing w:line="360" w:lineRule="auto"/>
        <w:rPr>
          <w:rFonts w:ascii="Times New Roman" w:hAnsi="Times New Roman" w:cs="Times New Roman"/>
          <w:sz w:val="24"/>
          <w:szCs w:val="24"/>
        </w:rPr>
      </w:pPr>
    </w:p>
    <w:p w14:paraId="090AC83E" w14:textId="16BA90BC" w:rsidR="008115C2" w:rsidRPr="00B52548" w:rsidRDefault="0050284B" w:rsidP="00B52548">
      <w:pPr>
        <w:spacing w:line="360" w:lineRule="auto"/>
        <w:rPr>
          <w:rFonts w:ascii="Times New Roman" w:hAnsi="Times New Roman" w:cs="Times New Roman"/>
          <w:sz w:val="24"/>
          <w:szCs w:val="24"/>
        </w:rPr>
      </w:pPr>
      <w:r w:rsidRPr="00B52548">
        <w:rPr>
          <w:rFonts w:ascii="Times New Roman" w:hAnsi="Times New Roman" w:cs="Times New Roman"/>
          <w:sz w:val="24"/>
          <w:szCs w:val="24"/>
        </w:rPr>
        <w:lastRenderedPageBreak/>
        <w:t xml:space="preserve">Table </w:t>
      </w:r>
      <w:proofErr w:type="gramStart"/>
      <w:r w:rsidR="00B279F7">
        <w:rPr>
          <w:rFonts w:ascii="Times New Roman" w:hAnsi="Times New Roman" w:cs="Times New Roman"/>
          <w:sz w:val="24"/>
          <w:szCs w:val="24"/>
        </w:rPr>
        <w:t>4</w:t>
      </w:r>
      <w:r w:rsidR="006C165A" w:rsidRPr="00B52548">
        <w:rPr>
          <w:rFonts w:ascii="Times New Roman" w:hAnsi="Times New Roman" w:cs="Times New Roman"/>
          <w:sz w:val="24"/>
          <w:szCs w:val="24"/>
        </w:rPr>
        <w:t>:-</w:t>
      </w:r>
      <w:proofErr w:type="gramEnd"/>
      <w:r w:rsidR="006C165A" w:rsidRPr="00B52548">
        <w:rPr>
          <w:rFonts w:ascii="Times New Roman" w:hAnsi="Times New Roman" w:cs="Times New Roman"/>
          <w:sz w:val="24"/>
          <w:szCs w:val="24"/>
        </w:rPr>
        <w:t xml:space="preserve"> Correlation Coefficient Between GAF Score</w:t>
      </w:r>
      <w:r w:rsidR="0073183A" w:rsidRPr="00B52548">
        <w:rPr>
          <w:rFonts w:ascii="Times New Roman" w:hAnsi="Times New Roman" w:cs="Times New Roman"/>
          <w:sz w:val="24"/>
          <w:szCs w:val="24"/>
        </w:rPr>
        <w:t xml:space="preserve"> </w:t>
      </w:r>
      <w:r w:rsidR="006C165A" w:rsidRPr="00B52548">
        <w:rPr>
          <w:rFonts w:ascii="Times New Roman" w:hAnsi="Times New Roman" w:cs="Times New Roman"/>
          <w:sz w:val="24"/>
          <w:szCs w:val="24"/>
        </w:rPr>
        <w:t xml:space="preserve">(GAF 1) and Sociodemographic &amp; Clinical Variables </w:t>
      </w:r>
    </w:p>
    <w:tbl>
      <w:tblPr>
        <w:tblW w:w="502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072"/>
        <w:gridCol w:w="972"/>
        <w:gridCol w:w="778"/>
        <w:gridCol w:w="778"/>
      </w:tblGrid>
      <w:tr w:rsidR="006C165A" w:rsidRPr="00B52548" w14:paraId="269FCEC0" w14:textId="77777777" w:rsidTr="008115C2">
        <w:trPr>
          <w:trHeight w:val="435"/>
        </w:trPr>
        <w:tc>
          <w:tcPr>
            <w:tcW w:w="1424" w:type="dxa"/>
            <w:noWrap/>
            <w:hideMark/>
          </w:tcPr>
          <w:p w14:paraId="6285AE2C" w14:textId="77777777" w:rsidR="006C165A" w:rsidRPr="00B13409" w:rsidRDefault="006C165A" w:rsidP="00F47D17">
            <w:pPr>
              <w:spacing w:before="120" w:after="120"/>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Variable</w:t>
            </w:r>
          </w:p>
        </w:tc>
        <w:tc>
          <w:tcPr>
            <w:tcW w:w="1072" w:type="dxa"/>
            <w:noWrap/>
            <w:hideMark/>
          </w:tcPr>
          <w:p w14:paraId="3D77C366" w14:textId="77777777" w:rsidR="006C165A" w:rsidRPr="00B13409" w:rsidRDefault="006C165A" w:rsidP="00F47D17">
            <w:pPr>
              <w:spacing w:before="120" w:after="120"/>
              <w:jc w:val="center"/>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 xml:space="preserve">r </w:t>
            </w:r>
            <w:proofErr w:type="gramStart"/>
            <w:r w:rsidRPr="00B13409">
              <w:rPr>
                <w:rFonts w:ascii="Times New Roman" w:eastAsia="Times New Roman" w:hAnsi="Times New Roman" w:cs="Times New Roman"/>
                <w:color w:val="000000"/>
                <w:sz w:val="20"/>
                <w:szCs w:val="20"/>
              </w:rPr>
              <w:t>In</w:t>
            </w:r>
            <w:proofErr w:type="gramEnd"/>
            <w:r w:rsidRPr="00B13409">
              <w:rPr>
                <w:rFonts w:ascii="Times New Roman" w:eastAsia="Times New Roman" w:hAnsi="Times New Roman" w:cs="Times New Roman"/>
                <w:color w:val="000000"/>
                <w:sz w:val="20"/>
                <w:szCs w:val="20"/>
              </w:rPr>
              <w:t xml:space="preserve"> WP</w:t>
            </w:r>
          </w:p>
        </w:tc>
        <w:tc>
          <w:tcPr>
            <w:tcW w:w="972" w:type="dxa"/>
          </w:tcPr>
          <w:p w14:paraId="368FEBBC" w14:textId="77777777" w:rsidR="006C165A" w:rsidRPr="00B13409" w:rsidRDefault="006C165A" w:rsidP="00F47D17">
            <w:pPr>
              <w:spacing w:before="120" w:after="120"/>
              <w:jc w:val="center"/>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P value</w:t>
            </w:r>
          </w:p>
        </w:tc>
        <w:tc>
          <w:tcPr>
            <w:tcW w:w="778" w:type="dxa"/>
          </w:tcPr>
          <w:p w14:paraId="4A53504E" w14:textId="77777777" w:rsidR="006C165A" w:rsidRPr="00B13409" w:rsidRDefault="006C165A" w:rsidP="00F47D17">
            <w:pPr>
              <w:spacing w:before="120" w:after="120"/>
              <w:jc w:val="center"/>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 xml:space="preserve">r </w:t>
            </w:r>
            <w:proofErr w:type="gramStart"/>
            <w:r w:rsidRPr="00B13409">
              <w:rPr>
                <w:rFonts w:ascii="Times New Roman" w:eastAsia="Times New Roman" w:hAnsi="Times New Roman" w:cs="Times New Roman"/>
                <w:color w:val="000000"/>
                <w:sz w:val="20"/>
                <w:szCs w:val="20"/>
              </w:rPr>
              <w:t>In</w:t>
            </w:r>
            <w:proofErr w:type="gramEnd"/>
            <w:r w:rsidRPr="00B13409">
              <w:rPr>
                <w:rFonts w:ascii="Times New Roman" w:eastAsia="Times New Roman" w:hAnsi="Times New Roman" w:cs="Times New Roman"/>
                <w:color w:val="000000"/>
                <w:sz w:val="20"/>
                <w:szCs w:val="20"/>
              </w:rPr>
              <w:t xml:space="preserve"> WOP</w:t>
            </w:r>
          </w:p>
        </w:tc>
        <w:tc>
          <w:tcPr>
            <w:tcW w:w="778" w:type="dxa"/>
          </w:tcPr>
          <w:p w14:paraId="793CA556" w14:textId="77777777" w:rsidR="006C165A" w:rsidRPr="00B13409" w:rsidRDefault="006C165A" w:rsidP="00F47D17">
            <w:pPr>
              <w:spacing w:before="120" w:after="120"/>
              <w:jc w:val="center"/>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P value</w:t>
            </w:r>
          </w:p>
        </w:tc>
      </w:tr>
      <w:tr w:rsidR="006C165A" w:rsidRPr="00B52548" w14:paraId="43829E9F" w14:textId="77777777" w:rsidTr="008115C2">
        <w:trPr>
          <w:trHeight w:val="435"/>
        </w:trPr>
        <w:tc>
          <w:tcPr>
            <w:tcW w:w="1424" w:type="dxa"/>
            <w:noWrap/>
            <w:hideMark/>
          </w:tcPr>
          <w:p w14:paraId="5BCB74FD" w14:textId="77777777" w:rsidR="006C165A" w:rsidRPr="00B13409" w:rsidRDefault="006C165A" w:rsidP="00F47D17">
            <w:pPr>
              <w:spacing w:before="120" w:after="120"/>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AGE in years</w:t>
            </w:r>
          </w:p>
        </w:tc>
        <w:tc>
          <w:tcPr>
            <w:tcW w:w="1072" w:type="dxa"/>
            <w:noWrap/>
            <w:hideMark/>
          </w:tcPr>
          <w:p w14:paraId="2753F490"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-0.175</w:t>
            </w:r>
          </w:p>
        </w:tc>
        <w:tc>
          <w:tcPr>
            <w:tcW w:w="972" w:type="dxa"/>
          </w:tcPr>
          <w:p w14:paraId="5ADA0C4E"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0.281</w:t>
            </w:r>
          </w:p>
        </w:tc>
        <w:tc>
          <w:tcPr>
            <w:tcW w:w="778" w:type="dxa"/>
          </w:tcPr>
          <w:p w14:paraId="7A16FDED"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-0.312</w:t>
            </w:r>
          </w:p>
        </w:tc>
        <w:tc>
          <w:tcPr>
            <w:tcW w:w="778" w:type="dxa"/>
          </w:tcPr>
          <w:p w14:paraId="5F185506"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0.049*</w:t>
            </w:r>
          </w:p>
        </w:tc>
      </w:tr>
      <w:tr w:rsidR="006C165A" w:rsidRPr="00B52548" w14:paraId="2769CCCB" w14:textId="77777777" w:rsidTr="008115C2">
        <w:trPr>
          <w:trHeight w:val="435"/>
        </w:trPr>
        <w:tc>
          <w:tcPr>
            <w:tcW w:w="1424" w:type="dxa"/>
            <w:noWrap/>
            <w:hideMark/>
          </w:tcPr>
          <w:p w14:paraId="050C12A1" w14:textId="77777777" w:rsidR="006C165A" w:rsidRPr="00B13409" w:rsidRDefault="006C165A" w:rsidP="00F47D17">
            <w:pPr>
              <w:spacing w:before="120" w:after="120"/>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DHS</w:t>
            </w:r>
          </w:p>
        </w:tc>
        <w:tc>
          <w:tcPr>
            <w:tcW w:w="1072" w:type="dxa"/>
            <w:noWrap/>
            <w:hideMark/>
          </w:tcPr>
          <w:p w14:paraId="3B336E4D"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-0.241</w:t>
            </w:r>
          </w:p>
        </w:tc>
        <w:tc>
          <w:tcPr>
            <w:tcW w:w="972" w:type="dxa"/>
          </w:tcPr>
          <w:p w14:paraId="3F1B4236"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0.135</w:t>
            </w:r>
          </w:p>
        </w:tc>
        <w:tc>
          <w:tcPr>
            <w:tcW w:w="778" w:type="dxa"/>
          </w:tcPr>
          <w:p w14:paraId="13C7DAFA"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-0.310</w:t>
            </w:r>
          </w:p>
        </w:tc>
        <w:tc>
          <w:tcPr>
            <w:tcW w:w="778" w:type="dxa"/>
          </w:tcPr>
          <w:p w14:paraId="752855A0"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0.051</w:t>
            </w:r>
          </w:p>
        </w:tc>
      </w:tr>
      <w:tr w:rsidR="006C165A" w:rsidRPr="00B52548" w14:paraId="6CB41821" w14:textId="77777777" w:rsidTr="008115C2">
        <w:trPr>
          <w:trHeight w:val="435"/>
        </w:trPr>
        <w:tc>
          <w:tcPr>
            <w:tcW w:w="1424" w:type="dxa"/>
            <w:noWrap/>
            <w:hideMark/>
          </w:tcPr>
          <w:p w14:paraId="20E2505B" w14:textId="77777777" w:rsidR="006C165A" w:rsidRPr="00B13409" w:rsidRDefault="006C165A" w:rsidP="00F47D17">
            <w:pPr>
              <w:spacing w:before="120" w:after="120"/>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AOO</w:t>
            </w:r>
          </w:p>
        </w:tc>
        <w:tc>
          <w:tcPr>
            <w:tcW w:w="1072" w:type="dxa"/>
            <w:noWrap/>
            <w:hideMark/>
          </w:tcPr>
          <w:p w14:paraId="253166E9"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-0.117</w:t>
            </w:r>
          </w:p>
        </w:tc>
        <w:tc>
          <w:tcPr>
            <w:tcW w:w="972" w:type="dxa"/>
          </w:tcPr>
          <w:p w14:paraId="7345C6CB"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0.473</w:t>
            </w:r>
          </w:p>
        </w:tc>
        <w:tc>
          <w:tcPr>
            <w:tcW w:w="778" w:type="dxa"/>
          </w:tcPr>
          <w:p w14:paraId="56E844E4"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-0.301</w:t>
            </w:r>
          </w:p>
        </w:tc>
        <w:tc>
          <w:tcPr>
            <w:tcW w:w="778" w:type="dxa"/>
          </w:tcPr>
          <w:p w14:paraId="27A7D571"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0.059</w:t>
            </w:r>
          </w:p>
        </w:tc>
      </w:tr>
      <w:tr w:rsidR="006C165A" w:rsidRPr="00B52548" w14:paraId="33535246" w14:textId="77777777" w:rsidTr="008115C2">
        <w:trPr>
          <w:trHeight w:val="435"/>
        </w:trPr>
        <w:tc>
          <w:tcPr>
            <w:tcW w:w="1424" w:type="dxa"/>
            <w:noWrap/>
            <w:hideMark/>
          </w:tcPr>
          <w:p w14:paraId="540EA026" w14:textId="77777777" w:rsidR="006C165A" w:rsidRPr="00B13409" w:rsidRDefault="006C165A" w:rsidP="00F47D17">
            <w:pPr>
              <w:spacing w:before="120" w:after="120"/>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NOH</w:t>
            </w:r>
          </w:p>
        </w:tc>
        <w:tc>
          <w:tcPr>
            <w:tcW w:w="1072" w:type="dxa"/>
            <w:noWrap/>
            <w:hideMark/>
          </w:tcPr>
          <w:p w14:paraId="5022BCE0"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-0.151</w:t>
            </w:r>
          </w:p>
        </w:tc>
        <w:tc>
          <w:tcPr>
            <w:tcW w:w="972" w:type="dxa"/>
          </w:tcPr>
          <w:p w14:paraId="5FB4CCDE"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0.351</w:t>
            </w:r>
          </w:p>
        </w:tc>
        <w:tc>
          <w:tcPr>
            <w:tcW w:w="778" w:type="dxa"/>
          </w:tcPr>
          <w:p w14:paraId="36244547"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-0.708</w:t>
            </w:r>
          </w:p>
        </w:tc>
        <w:tc>
          <w:tcPr>
            <w:tcW w:w="778" w:type="dxa"/>
          </w:tcPr>
          <w:p w14:paraId="28828C76"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0.000*</w:t>
            </w:r>
          </w:p>
        </w:tc>
      </w:tr>
      <w:tr w:rsidR="006C165A" w:rsidRPr="00B52548" w14:paraId="38E347ED" w14:textId="77777777" w:rsidTr="008115C2">
        <w:trPr>
          <w:trHeight w:val="435"/>
        </w:trPr>
        <w:tc>
          <w:tcPr>
            <w:tcW w:w="1424" w:type="dxa"/>
            <w:noWrap/>
          </w:tcPr>
          <w:p w14:paraId="1E88253E" w14:textId="77777777" w:rsidR="006C165A" w:rsidRPr="00B13409" w:rsidRDefault="006C165A" w:rsidP="00F47D17">
            <w:pPr>
              <w:spacing w:before="120" w:after="120"/>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DOI</w:t>
            </w:r>
          </w:p>
        </w:tc>
        <w:tc>
          <w:tcPr>
            <w:tcW w:w="1072" w:type="dxa"/>
            <w:noWrap/>
          </w:tcPr>
          <w:p w14:paraId="68097EE2"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-0.025</w:t>
            </w:r>
          </w:p>
        </w:tc>
        <w:tc>
          <w:tcPr>
            <w:tcW w:w="972" w:type="dxa"/>
          </w:tcPr>
          <w:p w14:paraId="4F558941"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0.878</w:t>
            </w:r>
          </w:p>
        </w:tc>
        <w:tc>
          <w:tcPr>
            <w:tcW w:w="778" w:type="dxa"/>
          </w:tcPr>
          <w:p w14:paraId="1F7F64B2"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0.070</w:t>
            </w:r>
          </w:p>
        </w:tc>
        <w:tc>
          <w:tcPr>
            <w:tcW w:w="778" w:type="dxa"/>
          </w:tcPr>
          <w:p w14:paraId="7546D195"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0.667</w:t>
            </w:r>
          </w:p>
        </w:tc>
      </w:tr>
      <w:tr w:rsidR="006C165A" w:rsidRPr="00B52548" w14:paraId="623BC67A" w14:textId="77777777" w:rsidTr="008115C2">
        <w:trPr>
          <w:trHeight w:val="435"/>
        </w:trPr>
        <w:tc>
          <w:tcPr>
            <w:tcW w:w="1424" w:type="dxa"/>
            <w:noWrap/>
          </w:tcPr>
          <w:p w14:paraId="024B2040" w14:textId="77777777" w:rsidR="006C165A" w:rsidRPr="00B13409" w:rsidRDefault="006C165A" w:rsidP="00F47D17">
            <w:pPr>
              <w:spacing w:before="120" w:after="120"/>
              <w:rPr>
                <w:rFonts w:ascii="Times New Roman" w:eastAsia="Times New Roman" w:hAnsi="Times New Roman" w:cs="Times New Roman"/>
                <w:color w:val="000000"/>
                <w:sz w:val="20"/>
                <w:szCs w:val="20"/>
              </w:rPr>
            </w:pPr>
            <w:r w:rsidRPr="00B13409">
              <w:rPr>
                <w:rFonts w:ascii="Times New Roman" w:eastAsia="Times New Roman" w:hAnsi="Times New Roman" w:cs="Times New Roman"/>
                <w:color w:val="000000"/>
                <w:sz w:val="20"/>
                <w:szCs w:val="20"/>
              </w:rPr>
              <w:t>YMRS</w:t>
            </w:r>
          </w:p>
        </w:tc>
        <w:tc>
          <w:tcPr>
            <w:tcW w:w="1072" w:type="dxa"/>
            <w:noWrap/>
          </w:tcPr>
          <w:p w14:paraId="1720DFDD"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-0.440</w:t>
            </w:r>
          </w:p>
        </w:tc>
        <w:tc>
          <w:tcPr>
            <w:tcW w:w="972" w:type="dxa"/>
          </w:tcPr>
          <w:p w14:paraId="6338E5FF"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0.005*</w:t>
            </w:r>
          </w:p>
        </w:tc>
        <w:tc>
          <w:tcPr>
            <w:tcW w:w="778" w:type="dxa"/>
          </w:tcPr>
          <w:p w14:paraId="18DC47C6"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-0.340</w:t>
            </w:r>
          </w:p>
        </w:tc>
        <w:tc>
          <w:tcPr>
            <w:tcW w:w="778" w:type="dxa"/>
          </w:tcPr>
          <w:p w14:paraId="55BA2C21" w14:textId="77777777" w:rsidR="006C165A" w:rsidRPr="00B13409" w:rsidRDefault="006C165A" w:rsidP="00F47D17">
            <w:pPr>
              <w:spacing w:before="120" w:after="120"/>
              <w:jc w:val="center"/>
              <w:rPr>
                <w:rFonts w:ascii="Times New Roman" w:eastAsia="Times New Roman" w:hAnsi="Times New Roman" w:cs="Times New Roman"/>
                <w:sz w:val="20"/>
                <w:szCs w:val="20"/>
              </w:rPr>
            </w:pPr>
            <w:r w:rsidRPr="00B13409">
              <w:rPr>
                <w:rFonts w:ascii="Times New Roman" w:eastAsia="Times New Roman" w:hAnsi="Times New Roman" w:cs="Times New Roman"/>
                <w:sz w:val="20"/>
                <w:szCs w:val="20"/>
              </w:rPr>
              <w:t>0.034*</w:t>
            </w:r>
          </w:p>
        </w:tc>
      </w:tr>
    </w:tbl>
    <w:p w14:paraId="5F5D8BB9" w14:textId="7E35E3C5" w:rsidR="00B43A64" w:rsidRPr="00B13409" w:rsidRDefault="006C165A" w:rsidP="00313790">
      <w:pPr>
        <w:spacing w:before="120" w:after="0" w:line="360" w:lineRule="auto"/>
        <w:jc w:val="both"/>
        <w:rPr>
          <w:rFonts w:ascii="Times New Roman" w:hAnsi="Times New Roman" w:cs="Times New Roman"/>
          <w:i/>
          <w:sz w:val="16"/>
          <w:szCs w:val="16"/>
        </w:rPr>
      </w:pPr>
      <w:r w:rsidRPr="00B13409">
        <w:rPr>
          <w:rFonts w:ascii="Times New Roman" w:hAnsi="Times New Roman" w:cs="Times New Roman"/>
          <w:i/>
          <w:sz w:val="16"/>
          <w:szCs w:val="16"/>
        </w:rPr>
        <w:t>r-Pearson correlation coefficient; GAF 1-global assessment of functioning at discharge; WP-with psycho</w:t>
      </w:r>
      <w:r w:rsidR="006C293A">
        <w:rPr>
          <w:rFonts w:ascii="Times New Roman" w:hAnsi="Times New Roman" w:cs="Times New Roman"/>
          <w:i/>
          <w:sz w:val="16"/>
          <w:szCs w:val="16"/>
        </w:rPr>
        <w:t>tic features</w:t>
      </w:r>
      <w:r w:rsidRPr="00B13409">
        <w:rPr>
          <w:rFonts w:ascii="Times New Roman" w:hAnsi="Times New Roman" w:cs="Times New Roman"/>
          <w:i/>
          <w:sz w:val="16"/>
          <w:szCs w:val="16"/>
        </w:rPr>
        <w:t>; WOP- without psycho</w:t>
      </w:r>
      <w:r w:rsidR="006C293A">
        <w:rPr>
          <w:rFonts w:ascii="Times New Roman" w:hAnsi="Times New Roman" w:cs="Times New Roman"/>
          <w:i/>
          <w:sz w:val="16"/>
          <w:szCs w:val="16"/>
        </w:rPr>
        <w:t>tic feature</w:t>
      </w:r>
      <w:r w:rsidRPr="00B13409">
        <w:rPr>
          <w:rFonts w:ascii="Times New Roman" w:hAnsi="Times New Roman" w:cs="Times New Roman"/>
          <w:i/>
          <w:sz w:val="16"/>
          <w:szCs w:val="16"/>
        </w:rPr>
        <w:t>; AOO- age of onset of illness; NOH-no. of hospital stay; DOI-duration of illness</w:t>
      </w:r>
      <w:r w:rsidRPr="00B13409">
        <w:rPr>
          <w:rFonts w:ascii="Times New Roman" w:hAnsi="Times New Roman" w:cs="Times New Roman"/>
          <w:sz w:val="16"/>
          <w:szCs w:val="16"/>
        </w:rPr>
        <w:t xml:space="preserve">; </w:t>
      </w:r>
      <w:r w:rsidRPr="00B13409">
        <w:rPr>
          <w:rFonts w:ascii="Times New Roman" w:hAnsi="Times New Roman" w:cs="Times New Roman"/>
          <w:i/>
          <w:sz w:val="16"/>
          <w:szCs w:val="16"/>
        </w:rPr>
        <w:t>Significance*</w:t>
      </w:r>
    </w:p>
    <w:p w14:paraId="1C653FB5" w14:textId="77777777" w:rsidR="008D0330" w:rsidRPr="00B52548" w:rsidRDefault="008D0330" w:rsidP="006C165A">
      <w:pPr>
        <w:spacing w:line="360" w:lineRule="auto"/>
        <w:jc w:val="both"/>
        <w:rPr>
          <w:rFonts w:ascii="Times New Roman" w:hAnsi="Times New Roman" w:cs="Times New Roman"/>
          <w:sz w:val="24"/>
          <w:szCs w:val="24"/>
        </w:rPr>
      </w:pPr>
    </w:p>
    <w:p w14:paraId="3E15E3AA" w14:textId="77777777" w:rsidR="00585BB3" w:rsidRDefault="00585BB3" w:rsidP="00866BE9">
      <w:pPr>
        <w:spacing w:line="360" w:lineRule="auto"/>
        <w:jc w:val="both"/>
        <w:rPr>
          <w:rFonts w:ascii="Times New Roman" w:hAnsi="Times New Roman" w:cs="Times New Roman"/>
          <w:sz w:val="24"/>
          <w:szCs w:val="24"/>
        </w:rPr>
      </w:pPr>
    </w:p>
    <w:p w14:paraId="6D58FF0E" w14:textId="77777777" w:rsidR="00585BB3" w:rsidRDefault="00585BB3" w:rsidP="00866BE9">
      <w:pPr>
        <w:spacing w:line="360" w:lineRule="auto"/>
        <w:jc w:val="both"/>
        <w:rPr>
          <w:rFonts w:ascii="Times New Roman" w:hAnsi="Times New Roman" w:cs="Times New Roman"/>
          <w:sz w:val="24"/>
          <w:szCs w:val="24"/>
        </w:rPr>
      </w:pPr>
    </w:p>
    <w:p w14:paraId="789C0C2F" w14:textId="77777777" w:rsidR="00585BB3" w:rsidRDefault="00585BB3" w:rsidP="00866BE9">
      <w:pPr>
        <w:spacing w:line="360" w:lineRule="auto"/>
        <w:jc w:val="both"/>
        <w:rPr>
          <w:rFonts w:ascii="Times New Roman" w:hAnsi="Times New Roman" w:cs="Times New Roman"/>
          <w:sz w:val="24"/>
          <w:szCs w:val="24"/>
        </w:rPr>
      </w:pPr>
    </w:p>
    <w:p w14:paraId="432425FD" w14:textId="77777777" w:rsidR="00585BB3" w:rsidRDefault="00585BB3" w:rsidP="00866BE9">
      <w:pPr>
        <w:spacing w:line="360" w:lineRule="auto"/>
        <w:jc w:val="both"/>
        <w:rPr>
          <w:rFonts w:ascii="Times New Roman" w:hAnsi="Times New Roman" w:cs="Times New Roman"/>
          <w:sz w:val="24"/>
          <w:szCs w:val="24"/>
        </w:rPr>
      </w:pPr>
    </w:p>
    <w:p w14:paraId="0986012C" w14:textId="77777777" w:rsidR="00585BB3" w:rsidRDefault="00585BB3" w:rsidP="00866BE9">
      <w:pPr>
        <w:spacing w:line="360" w:lineRule="auto"/>
        <w:jc w:val="both"/>
        <w:rPr>
          <w:rFonts w:ascii="Times New Roman" w:hAnsi="Times New Roman" w:cs="Times New Roman"/>
          <w:sz w:val="24"/>
          <w:szCs w:val="24"/>
        </w:rPr>
      </w:pPr>
    </w:p>
    <w:p w14:paraId="7741DC82" w14:textId="77777777" w:rsidR="00585BB3" w:rsidRDefault="00585BB3" w:rsidP="00866BE9">
      <w:pPr>
        <w:spacing w:line="360" w:lineRule="auto"/>
        <w:jc w:val="both"/>
        <w:rPr>
          <w:rFonts w:ascii="Times New Roman" w:hAnsi="Times New Roman" w:cs="Times New Roman"/>
          <w:sz w:val="24"/>
          <w:szCs w:val="24"/>
        </w:rPr>
      </w:pPr>
    </w:p>
    <w:p w14:paraId="2E4DB8B6" w14:textId="77777777" w:rsidR="00585BB3" w:rsidRDefault="00585BB3" w:rsidP="00866BE9">
      <w:pPr>
        <w:spacing w:line="360" w:lineRule="auto"/>
        <w:jc w:val="both"/>
        <w:rPr>
          <w:rFonts w:ascii="Times New Roman" w:hAnsi="Times New Roman" w:cs="Times New Roman"/>
          <w:sz w:val="24"/>
          <w:szCs w:val="24"/>
        </w:rPr>
      </w:pPr>
    </w:p>
    <w:p w14:paraId="6C769AA3" w14:textId="77777777" w:rsidR="00585BB3" w:rsidRDefault="00585BB3" w:rsidP="00866BE9">
      <w:pPr>
        <w:spacing w:line="360" w:lineRule="auto"/>
        <w:jc w:val="both"/>
        <w:rPr>
          <w:rFonts w:ascii="Times New Roman" w:hAnsi="Times New Roman" w:cs="Times New Roman"/>
          <w:sz w:val="24"/>
          <w:szCs w:val="24"/>
        </w:rPr>
      </w:pPr>
    </w:p>
    <w:p w14:paraId="22A93528" w14:textId="77777777" w:rsidR="00585BB3" w:rsidRDefault="00585BB3" w:rsidP="00866BE9">
      <w:pPr>
        <w:spacing w:line="360" w:lineRule="auto"/>
        <w:jc w:val="both"/>
        <w:rPr>
          <w:rFonts w:ascii="Times New Roman" w:hAnsi="Times New Roman" w:cs="Times New Roman"/>
          <w:sz w:val="24"/>
          <w:szCs w:val="24"/>
        </w:rPr>
      </w:pPr>
    </w:p>
    <w:p w14:paraId="696415AD" w14:textId="77777777" w:rsidR="00585BB3" w:rsidRDefault="00585BB3" w:rsidP="00866BE9">
      <w:pPr>
        <w:spacing w:line="360" w:lineRule="auto"/>
        <w:jc w:val="both"/>
        <w:rPr>
          <w:rFonts w:ascii="Times New Roman" w:hAnsi="Times New Roman" w:cs="Times New Roman"/>
          <w:sz w:val="24"/>
          <w:szCs w:val="24"/>
        </w:rPr>
      </w:pPr>
    </w:p>
    <w:p w14:paraId="09B92577" w14:textId="77777777" w:rsidR="00585BB3" w:rsidRDefault="00585BB3" w:rsidP="00866BE9">
      <w:pPr>
        <w:spacing w:line="360" w:lineRule="auto"/>
        <w:jc w:val="both"/>
        <w:rPr>
          <w:rFonts w:ascii="Times New Roman" w:hAnsi="Times New Roman" w:cs="Times New Roman"/>
          <w:sz w:val="24"/>
          <w:szCs w:val="24"/>
        </w:rPr>
      </w:pPr>
    </w:p>
    <w:p w14:paraId="59310DBC" w14:textId="69BCD655" w:rsidR="00FB3C98" w:rsidRPr="00866BE9" w:rsidRDefault="0050284B" w:rsidP="00866BE9">
      <w:pPr>
        <w:spacing w:line="360" w:lineRule="auto"/>
        <w:jc w:val="both"/>
        <w:rPr>
          <w:rFonts w:ascii="Times New Roman" w:hAnsi="Times New Roman" w:cs="Times New Roman"/>
          <w:sz w:val="24"/>
          <w:szCs w:val="24"/>
        </w:rPr>
      </w:pPr>
      <w:r w:rsidRPr="00B52548">
        <w:rPr>
          <w:rFonts w:ascii="Times New Roman" w:hAnsi="Times New Roman" w:cs="Times New Roman"/>
          <w:sz w:val="24"/>
          <w:szCs w:val="24"/>
        </w:rPr>
        <w:lastRenderedPageBreak/>
        <w:t>Table</w:t>
      </w:r>
      <w:r w:rsidR="008A6F5F">
        <w:rPr>
          <w:rFonts w:ascii="Times New Roman" w:hAnsi="Times New Roman" w:cs="Times New Roman"/>
          <w:sz w:val="24"/>
          <w:szCs w:val="24"/>
        </w:rPr>
        <w:t xml:space="preserve"> </w:t>
      </w:r>
      <w:r w:rsidR="00B3730F">
        <w:rPr>
          <w:rFonts w:ascii="Times New Roman" w:hAnsi="Times New Roman" w:cs="Times New Roman"/>
          <w:sz w:val="24"/>
          <w:szCs w:val="24"/>
        </w:rPr>
        <w:t>5</w:t>
      </w:r>
      <w:r w:rsidR="00B3730F" w:rsidRPr="00B52548">
        <w:rPr>
          <w:rFonts w:ascii="Times New Roman" w:hAnsi="Times New Roman" w:cs="Times New Roman"/>
          <w:sz w:val="24"/>
          <w:szCs w:val="24"/>
        </w:rPr>
        <w:t>: -</w:t>
      </w:r>
      <w:r w:rsidR="006C165A" w:rsidRPr="00B52548">
        <w:rPr>
          <w:rFonts w:ascii="Times New Roman" w:hAnsi="Times New Roman" w:cs="Times New Roman"/>
          <w:sz w:val="24"/>
          <w:szCs w:val="24"/>
        </w:rPr>
        <w:t xml:space="preserve"> Correlation Coefficient Between GAF Score at discharge (GAF1) And Cognitive Functioning </w:t>
      </w:r>
      <w:r w:rsidR="00585BB3" w:rsidRPr="00B52548">
        <w:rPr>
          <w:rFonts w:ascii="Times New Roman" w:hAnsi="Times New Roman" w:cs="Times New Roman"/>
          <w:sz w:val="24"/>
          <w:szCs w:val="24"/>
        </w:rPr>
        <w:t>at</w:t>
      </w:r>
      <w:r w:rsidR="006C165A" w:rsidRPr="00B52548">
        <w:rPr>
          <w:rFonts w:ascii="Times New Roman" w:hAnsi="Times New Roman" w:cs="Times New Roman"/>
          <w:sz w:val="24"/>
          <w:szCs w:val="24"/>
        </w:rPr>
        <w:t xml:space="preserve"> Discharge</w:t>
      </w:r>
      <w:r w:rsidR="008A6F5F">
        <w:rPr>
          <w:rFonts w:ascii="Times New Roman" w:hAnsi="Times New Roman" w:cs="Times New Roman"/>
          <w:sz w:val="24"/>
          <w:szCs w:val="24"/>
        </w:rPr>
        <w:t xml:space="preserve"> </w:t>
      </w:r>
      <w:r w:rsidR="00D14762">
        <w:rPr>
          <w:rFonts w:ascii="Times New Roman" w:hAnsi="Times New Roman" w:cs="Times New Roman"/>
          <w:sz w:val="24"/>
          <w:szCs w:val="24"/>
        </w:rPr>
        <w:t>and follow ups</w:t>
      </w:r>
      <w:r w:rsidR="00482AB4" w:rsidRPr="00B52548">
        <w:rPr>
          <w:rFonts w:ascii="Times New Roman" w:hAnsi="Times New Roman" w:cs="Times New Roman"/>
          <w:i/>
          <w:sz w:val="24"/>
          <w:szCs w:val="24"/>
        </w:rPr>
        <w:t xml:space="preserve">     </w:t>
      </w:r>
      <w:r w:rsidR="006A6359" w:rsidRPr="00B52548">
        <w:rPr>
          <w:rFonts w:ascii="Times New Roman" w:hAnsi="Times New Roman" w:cs="Times New Roman"/>
          <w:i/>
          <w:sz w:val="24"/>
          <w:szCs w:val="24"/>
        </w:rPr>
        <w:t xml:space="preserve"> </w:t>
      </w:r>
    </w:p>
    <w:tbl>
      <w:tblPr>
        <w:tblStyle w:val="TableGrid"/>
        <w:tblW w:w="4112" w:type="dxa"/>
        <w:tblLook w:val="04A0" w:firstRow="1" w:lastRow="0" w:firstColumn="1" w:lastColumn="0" w:noHBand="0" w:noVBand="1"/>
      </w:tblPr>
      <w:tblGrid>
        <w:gridCol w:w="905"/>
        <w:gridCol w:w="796"/>
        <w:gridCol w:w="807"/>
        <w:gridCol w:w="797"/>
        <w:gridCol w:w="807"/>
      </w:tblGrid>
      <w:tr w:rsidR="008115C2" w14:paraId="3F31D3D9" w14:textId="77777777" w:rsidTr="008115C2">
        <w:trPr>
          <w:trHeight w:val="248"/>
        </w:trPr>
        <w:tc>
          <w:tcPr>
            <w:tcW w:w="905" w:type="dxa"/>
          </w:tcPr>
          <w:p w14:paraId="14FCC17B" w14:textId="77777777" w:rsidR="008115C2" w:rsidRPr="00B13409" w:rsidRDefault="008115C2" w:rsidP="003A2F5E">
            <w:r w:rsidRPr="00B13409">
              <w:rPr>
                <w:rFonts w:eastAsia="Arial"/>
              </w:rPr>
              <w:t>Variable</w:t>
            </w:r>
          </w:p>
        </w:tc>
        <w:tc>
          <w:tcPr>
            <w:tcW w:w="796" w:type="dxa"/>
          </w:tcPr>
          <w:p w14:paraId="3F973A11" w14:textId="5A21FB32" w:rsidR="008115C2" w:rsidRPr="00B13409" w:rsidRDefault="008115C2" w:rsidP="003A2F5E">
            <w:r w:rsidRPr="00B13409">
              <w:rPr>
                <w:rFonts w:eastAsia="Arial"/>
              </w:rPr>
              <w:t xml:space="preserve">r </w:t>
            </w:r>
            <w:r w:rsidR="00585BB3" w:rsidRPr="00B13409">
              <w:rPr>
                <w:rFonts w:eastAsia="Arial"/>
              </w:rPr>
              <w:t>in</w:t>
            </w:r>
            <w:r w:rsidRPr="00B13409">
              <w:rPr>
                <w:rFonts w:eastAsia="Arial"/>
              </w:rPr>
              <w:t xml:space="preserve"> WP</w:t>
            </w:r>
          </w:p>
        </w:tc>
        <w:tc>
          <w:tcPr>
            <w:tcW w:w="807" w:type="dxa"/>
          </w:tcPr>
          <w:p w14:paraId="279B625D" w14:textId="77777777" w:rsidR="008115C2" w:rsidRPr="00B13409" w:rsidRDefault="008115C2" w:rsidP="003A2F5E">
            <w:r w:rsidRPr="00B13409">
              <w:rPr>
                <w:rFonts w:eastAsia="Arial"/>
              </w:rPr>
              <w:t>P value</w:t>
            </w:r>
          </w:p>
        </w:tc>
        <w:tc>
          <w:tcPr>
            <w:tcW w:w="797" w:type="dxa"/>
          </w:tcPr>
          <w:p w14:paraId="0F194881" w14:textId="160DE815" w:rsidR="008115C2" w:rsidRPr="00B13409" w:rsidRDefault="008115C2" w:rsidP="003A2F5E">
            <w:r w:rsidRPr="00B13409">
              <w:rPr>
                <w:rFonts w:eastAsia="Arial"/>
              </w:rPr>
              <w:t xml:space="preserve">r </w:t>
            </w:r>
            <w:r w:rsidR="00585BB3" w:rsidRPr="00B13409">
              <w:rPr>
                <w:rFonts w:eastAsia="Arial"/>
              </w:rPr>
              <w:t>in</w:t>
            </w:r>
            <w:r w:rsidRPr="00B13409">
              <w:rPr>
                <w:rFonts w:eastAsia="Arial"/>
              </w:rPr>
              <w:t xml:space="preserve"> WOP</w:t>
            </w:r>
          </w:p>
        </w:tc>
        <w:tc>
          <w:tcPr>
            <w:tcW w:w="807" w:type="dxa"/>
          </w:tcPr>
          <w:p w14:paraId="57FF319D" w14:textId="77777777" w:rsidR="008115C2" w:rsidRPr="00B13409" w:rsidRDefault="008115C2" w:rsidP="003A2F5E">
            <w:r w:rsidRPr="00B13409">
              <w:rPr>
                <w:rFonts w:eastAsia="Arial"/>
              </w:rPr>
              <w:t>P value</w:t>
            </w:r>
          </w:p>
        </w:tc>
      </w:tr>
      <w:tr w:rsidR="008115C2" w14:paraId="10A3B125" w14:textId="77777777" w:rsidTr="008115C2">
        <w:trPr>
          <w:trHeight w:val="248"/>
        </w:trPr>
        <w:tc>
          <w:tcPr>
            <w:tcW w:w="905" w:type="dxa"/>
          </w:tcPr>
          <w:p w14:paraId="759907D7" w14:textId="77777777" w:rsidR="008115C2" w:rsidRPr="00B13409" w:rsidRDefault="008115C2" w:rsidP="003A2F5E">
            <w:r w:rsidRPr="00B13409">
              <w:rPr>
                <w:rFonts w:eastAsia="Arial"/>
              </w:rPr>
              <w:t>TMA1</w:t>
            </w:r>
          </w:p>
        </w:tc>
        <w:tc>
          <w:tcPr>
            <w:tcW w:w="796" w:type="dxa"/>
          </w:tcPr>
          <w:p w14:paraId="0ACEC569" w14:textId="77777777" w:rsidR="008115C2" w:rsidRPr="00B13409" w:rsidRDefault="008115C2" w:rsidP="003A2F5E">
            <w:r w:rsidRPr="00B13409">
              <w:rPr>
                <w:rFonts w:eastAsia="Arial"/>
              </w:rPr>
              <w:t>-0.187</w:t>
            </w:r>
          </w:p>
        </w:tc>
        <w:tc>
          <w:tcPr>
            <w:tcW w:w="807" w:type="dxa"/>
          </w:tcPr>
          <w:p w14:paraId="3977FBD3" w14:textId="77777777" w:rsidR="008115C2" w:rsidRPr="00B13409" w:rsidRDefault="008115C2" w:rsidP="003A2F5E">
            <w:r w:rsidRPr="00B13409">
              <w:rPr>
                <w:rFonts w:eastAsia="Arial"/>
              </w:rPr>
              <w:t>0.247</w:t>
            </w:r>
          </w:p>
        </w:tc>
        <w:tc>
          <w:tcPr>
            <w:tcW w:w="797" w:type="dxa"/>
          </w:tcPr>
          <w:p w14:paraId="4B04ADB6" w14:textId="77777777" w:rsidR="008115C2" w:rsidRPr="00B13409" w:rsidRDefault="008115C2" w:rsidP="003A2F5E">
            <w:r w:rsidRPr="00B13409">
              <w:rPr>
                <w:rFonts w:eastAsia="Arial"/>
              </w:rPr>
              <w:t>-0.100</w:t>
            </w:r>
          </w:p>
        </w:tc>
        <w:tc>
          <w:tcPr>
            <w:tcW w:w="807" w:type="dxa"/>
          </w:tcPr>
          <w:p w14:paraId="0D88F3B7" w14:textId="77777777" w:rsidR="008115C2" w:rsidRPr="00B13409" w:rsidRDefault="008115C2" w:rsidP="003A2F5E">
            <w:r w:rsidRPr="00B13409">
              <w:rPr>
                <w:rFonts w:eastAsia="Arial"/>
              </w:rPr>
              <w:t>0.538</w:t>
            </w:r>
          </w:p>
        </w:tc>
      </w:tr>
      <w:tr w:rsidR="008115C2" w14:paraId="6279620D" w14:textId="77777777" w:rsidTr="008115C2">
        <w:trPr>
          <w:trHeight w:val="248"/>
        </w:trPr>
        <w:tc>
          <w:tcPr>
            <w:tcW w:w="905" w:type="dxa"/>
          </w:tcPr>
          <w:p w14:paraId="72CF8C4A" w14:textId="77777777" w:rsidR="008115C2" w:rsidRPr="00B13409" w:rsidRDefault="008115C2" w:rsidP="003A2F5E">
            <w:r w:rsidRPr="00B13409">
              <w:rPr>
                <w:rFonts w:eastAsia="Arial"/>
              </w:rPr>
              <w:t>TMB1</w:t>
            </w:r>
          </w:p>
        </w:tc>
        <w:tc>
          <w:tcPr>
            <w:tcW w:w="796" w:type="dxa"/>
          </w:tcPr>
          <w:p w14:paraId="1F45E766" w14:textId="77777777" w:rsidR="008115C2" w:rsidRPr="00B13409" w:rsidRDefault="008115C2" w:rsidP="003A2F5E">
            <w:r w:rsidRPr="00B13409">
              <w:rPr>
                <w:rFonts w:eastAsia="Arial"/>
              </w:rPr>
              <w:t>-0.131</w:t>
            </w:r>
          </w:p>
        </w:tc>
        <w:tc>
          <w:tcPr>
            <w:tcW w:w="807" w:type="dxa"/>
          </w:tcPr>
          <w:p w14:paraId="57CAF8EA" w14:textId="77777777" w:rsidR="008115C2" w:rsidRPr="00B13409" w:rsidRDefault="008115C2" w:rsidP="003A2F5E">
            <w:r w:rsidRPr="00B13409">
              <w:rPr>
                <w:rFonts w:eastAsia="Arial"/>
              </w:rPr>
              <w:t>0.433</w:t>
            </w:r>
          </w:p>
        </w:tc>
        <w:tc>
          <w:tcPr>
            <w:tcW w:w="797" w:type="dxa"/>
          </w:tcPr>
          <w:p w14:paraId="20BC0014" w14:textId="77777777" w:rsidR="008115C2" w:rsidRPr="00B13409" w:rsidRDefault="008115C2" w:rsidP="003A2F5E">
            <w:r w:rsidRPr="00B13409">
              <w:rPr>
                <w:rFonts w:eastAsia="Arial"/>
              </w:rPr>
              <w:t>0.023</w:t>
            </w:r>
          </w:p>
        </w:tc>
        <w:tc>
          <w:tcPr>
            <w:tcW w:w="807" w:type="dxa"/>
          </w:tcPr>
          <w:p w14:paraId="675BB549" w14:textId="77777777" w:rsidR="008115C2" w:rsidRPr="00B13409" w:rsidRDefault="008115C2" w:rsidP="003A2F5E">
            <w:r w:rsidRPr="00B13409">
              <w:rPr>
                <w:rFonts w:eastAsia="Arial"/>
              </w:rPr>
              <w:t>0.886</w:t>
            </w:r>
          </w:p>
        </w:tc>
      </w:tr>
      <w:tr w:rsidR="008115C2" w14:paraId="53261D84" w14:textId="77777777" w:rsidTr="008115C2">
        <w:trPr>
          <w:trHeight w:val="248"/>
        </w:trPr>
        <w:tc>
          <w:tcPr>
            <w:tcW w:w="905" w:type="dxa"/>
          </w:tcPr>
          <w:p w14:paraId="65B37060" w14:textId="77777777" w:rsidR="008115C2" w:rsidRPr="00B13409" w:rsidRDefault="008115C2" w:rsidP="003A2F5E">
            <w:r w:rsidRPr="00B13409">
              <w:rPr>
                <w:rFonts w:eastAsia="Arial"/>
              </w:rPr>
              <w:t>DST1</w:t>
            </w:r>
          </w:p>
        </w:tc>
        <w:tc>
          <w:tcPr>
            <w:tcW w:w="796" w:type="dxa"/>
          </w:tcPr>
          <w:p w14:paraId="2FEB030B" w14:textId="77777777" w:rsidR="008115C2" w:rsidRPr="00B13409" w:rsidRDefault="008115C2" w:rsidP="003A2F5E">
            <w:r w:rsidRPr="00B13409">
              <w:rPr>
                <w:rFonts w:eastAsia="Arial"/>
              </w:rPr>
              <w:t>-0.159</w:t>
            </w:r>
          </w:p>
        </w:tc>
        <w:tc>
          <w:tcPr>
            <w:tcW w:w="807" w:type="dxa"/>
          </w:tcPr>
          <w:p w14:paraId="65E0939C" w14:textId="77777777" w:rsidR="008115C2" w:rsidRPr="00B13409" w:rsidRDefault="008115C2" w:rsidP="003A2F5E">
            <w:r w:rsidRPr="00B13409">
              <w:rPr>
                <w:rFonts w:eastAsia="Arial"/>
              </w:rPr>
              <w:t>0.354</w:t>
            </w:r>
          </w:p>
        </w:tc>
        <w:tc>
          <w:tcPr>
            <w:tcW w:w="797" w:type="dxa"/>
          </w:tcPr>
          <w:p w14:paraId="738BC6F9" w14:textId="77777777" w:rsidR="008115C2" w:rsidRPr="00B13409" w:rsidRDefault="008115C2" w:rsidP="003A2F5E">
            <w:r w:rsidRPr="00B13409">
              <w:rPr>
                <w:rFonts w:eastAsia="Arial"/>
              </w:rPr>
              <w:t>0.016</w:t>
            </w:r>
          </w:p>
        </w:tc>
        <w:tc>
          <w:tcPr>
            <w:tcW w:w="807" w:type="dxa"/>
          </w:tcPr>
          <w:p w14:paraId="545D2F99" w14:textId="77777777" w:rsidR="008115C2" w:rsidRPr="00B13409" w:rsidRDefault="008115C2" w:rsidP="003A2F5E">
            <w:r w:rsidRPr="00B13409">
              <w:rPr>
                <w:rFonts w:eastAsia="Arial"/>
              </w:rPr>
              <w:t>0.927</w:t>
            </w:r>
          </w:p>
        </w:tc>
      </w:tr>
      <w:tr w:rsidR="008115C2" w14:paraId="65710AAE" w14:textId="77777777" w:rsidTr="008115C2">
        <w:trPr>
          <w:trHeight w:val="248"/>
        </w:trPr>
        <w:tc>
          <w:tcPr>
            <w:tcW w:w="905" w:type="dxa"/>
          </w:tcPr>
          <w:p w14:paraId="78473308" w14:textId="77777777" w:rsidR="008115C2" w:rsidRPr="00B13409" w:rsidRDefault="008115C2" w:rsidP="003A2F5E">
            <w:r w:rsidRPr="00B13409">
              <w:rPr>
                <w:rFonts w:eastAsia="Arial"/>
              </w:rPr>
              <w:t>DVT1</w:t>
            </w:r>
          </w:p>
        </w:tc>
        <w:tc>
          <w:tcPr>
            <w:tcW w:w="796" w:type="dxa"/>
          </w:tcPr>
          <w:p w14:paraId="5E7DB131" w14:textId="77777777" w:rsidR="008115C2" w:rsidRPr="00B13409" w:rsidRDefault="008115C2" w:rsidP="003A2F5E">
            <w:r w:rsidRPr="00B13409">
              <w:rPr>
                <w:rFonts w:eastAsia="Arial"/>
              </w:rPr>
              <w:t>-0.326</w:t>
            </w:r>
          </w:p>
        </w:tc>
        <w:tc>
          <w:tcPr>
            <w:tcW w:w="807" w:type="dxa"/>
          </w:tcPr>
          <w:p w14:paraId="1703853C" w14:textId="77777777" w:rsidR="008115C2" w:rsidRPr="00B13409" w:rsidRDefault="008115C2" w:rsidP="003A2F5E">
            <w:r w:rsidRPr="00B13409">
              <w:rPr>
                <w:rFonts w:eastAsia="Arial"/>
              </w:rPr>
              <w:t>0.052</w:t>
            </w:r>
          </w:p>
        </w:tc>
        <w:tc>
          <w:tcPr>
            <w:tcW w:w="797" w:type="dxa"/>
          </w:tcPr>
          <w:p w14:paraId="7D1B1FDE" w14:textId="77777777" w:rsidR="008115C2" w:rsidRPr="00B13409" w:rsidRDefault="008115C2" w:rsidP="003A2F5E">
            <w:r w:rsidRPr="00B13409">
              <w:rPr>
                <w:rFonts w:eastAsia="Arial"/>
              </w:rPr>
              <w:t>0.074</w:t>
            </w:r>
          </w:p>
        </w:tc>
        <w:tc>
          <w:tcPr>
            <w:tcW w:w="807" w:type="dxa"/>
          </w:tcPr>
          <w:p w14:paraId="14A27605" w14:textId="77777777" w:rsidR="008115C2" w:rsidRPr="00B13409" w:rsidRDefault="008115C2" w:rsidP="003A2F5E">
            <w:r w:rsidRPr="00B13409">
              <w:rPr>
                <w:rFonts w:eastAsia="Arial"/>
              </w:rPr>
              <w:t>0.669</w:t>
            </w:r>
          </w:p>
        </w:tc>
      </w:tr>
      <w:tr w:rsidR="008115C2" w14:paraId="14550AD7" w14:textId="77777777" w:rsidTr="008115C2">
        <w:trPr>
          <w:trHeight w:val="248"/>
        </w:trPr>
        <w:tc>
          <w:tcPr>
            <w:tcW w:w="905" w:type="dxa"/>
          </w:tcPr>
          <w:p w14:paraId="3CB394BF" w14:textId="77777777" w:rsidR="008115C2" w:rsidRPr="00B13409" w:rsidRDefault="008115C2" w:rsidP="003A2F5E">
            <w:r w:rsidRPr="00B13409">
              <w:rPr>
                <w:rFonts w:eastAsia="Arial"/>
              </w:rPr>
              <w:t>FAS1</w:t>
            </w:r>
          </w:p>
        </w:tc>
        <w:tc>
          <w:tcPr>
            <w:tcW w:w="796" w:type="dxa"/>
          </w:tcPr>
          <w:p w14:paraId="505E2D91" w14:textId="77777777" w:rsidR="008115C2" w:rsidRPr="00B13409" w:rsidRDefault="008115C2" w:rsidP="003A2F5E">
            <w:r w:rsidRPr="00B13409">
              <w:rPr>
                <w:rFonts w:eastAsia="Arial"/>
              </w:rPr>
              <w:t>0.439</w:t>
            </w:r>
          </w:p>
        </w:tc>
        <w:tc>
          <w:tcPr>
            <w:tcW w:w="807" w:type="dxa"/>
          </w:tcPr>
          <w:p w14:paraId="4806E6C5" w14:textId="77777777" w:rsidR="008115C2" w:rsidRPr="00B13409" w:rsidRDefault="008115C2" w:rsidP="003A2F5E">
            <w:r w:rsidRPr="00B13409">
              <w:rPr>
                <w:rFonts w:eastAsia="Arial"/>
              </w:rPr>
              <w:t>0.006*</w:t>
            </w:r>
          </w:p>
        </w:tc>
        <w:tc>
          <w:tcPr>
            <w:tcW w:w="797" w:type="dxa"/>
          </w:tcPr>
          <w:p w14:paraId="4BCFFE44" w14:textId="77777777" w:rsidR="008115C2" w:rsidRPr="00B13409" w:rsidRDefault="008115C2" w:rsidP="003A2F5E">
            <w:r w:rsidRPr="00B13409">
              <w:rPr>
                <w:rFonts w:eastAsia="Arial"/>
              </w:rPr>
              <w:t>-0.055</w:t>
            </w:r>
          </w:p>
        </w:tc>
        <w:tc>
          <w:tcPr>
            <w:tcW w:w="807" w:type="dxa"/>
          </w:tcPr>
          <w:p w14:paraId="055A435C" w14:textId="77777777" w:rsidR="008115C2" w:rsidRPr="00B13409" w:rsidRDefault="008115C2" w:rsidP="003A2F5E">
            <w:r w:rsidRPr="00B13409">
              <w:rPr>
                <w:rFonts w:eastAsia="Arial"/>
              </w:rPr>
              <w:t>0.735</w:t>
            </w:r>
          </w:p>
        </w:tc>
      </w:tr>
      <w:tr w:rsidR="008115C2" w14:paraId="0CB191C7" w14:textId="77777777" w:rsidTr="008115C2">
        <w:trPr>
          <w:trHeight w:val="248"/>
        </w:trPr>
        <w:tc>
          <w:tcPr>
            <w:tcW w:w="905" w:type="dxa"/>
          </w:tcPr>
          <w:p w14:paraId="1D8DA2B7" w14:textId="77777777" w:rsidR="008115C2" w:rsidRPr="00B13409" w:rsidRDefault="008115C2" w:rsidP="003A2F5E">
            <w:r w:rsidRPr="00B13409">
              <w:rPr>
                <w:rFonts w:eastAsia="Arial"/>
              </w:rPr>
              <w:t>LOGM1</w:t>
            </w:r>
          </w:p>
        </w:tc>
        <w:tc>
          <w:tcPr>
            <w:tcW w:w="796" w:type="dxa"/>
          </w:tcPr>
          <w:p w14:paraId="5DA7FA54" w14:textId="77777777" w:rsidR="008115C2" w:rsidRPr="00B13409" w:rsidRDefault="008115C2" w:rsidP="003A2F5E">
            <w:r w:rsidRPr="00B13409">
              <w:rPr>
                <w:rFonts w:eastAsia="Arial"/>
              </w:rPr>
              <w:t>0.283</w:t>
            </w:r>
          </w:p>
        </w:tc>
        <w:tc>
          <w:tcPr>
            <w:tcW w:w="807" w:type="dxa"/>
          </w:tcPr>
          <w:p w14:paraId="103B5D08" w14:textId="77777777" w:rsidR="008115C2" w:rsidRPr="00B13409" w:rsidRDefault="008115C2" w:rsidP="003A2F5E">
            <w:r w:rsidRPr="00B13409">
              <w:rPr>
                <w:rFonts w:eastAsia="Arial"/>
              </w:rPr>
              <w:t>0.077</w:t>
            </w:r>
          </w:p>
        </w:tc>
        <w:tc>
          <w:tcPr>
            <w:tcW w:w="797" w:type="dxa"/>
          </w:tcPr>
          <w:p w14:paraId="506CC0B1" w14:textId="77777777" w:rsidR="008115C2" w:rsidRPr="00B13409" w:rsidRDefault="008115C2" w:rsidP="003A2F5E">
            <w:r w:rsidRPr="00B13409">
              <w:rPr>
                <w:rFonts w:eastAsia="Arial"/>
              </w:rPr>
              <w:t>0.281</w:t>
            </w:r>
          </w:p>
        </w:tc>
        <w:tc>
          <w:tcPr>
            <w:tcW w:w="807" w:type="dxa"/>
          </w:tcPr>
          <w:p w14:paraId="77291665" w14:textId="77777777" w:rsidR="008115C2" w:rsidRPr="00B13409" w:rsidRDefault="008115C2" w:rsidP="003A2F5E">
            <w:r w:rsidRPr="00B13409">
              <w:rPr>
                <w:rFonts w:eastAsia="Arial"/>
              </w:rPr>
              <w:t>0.079</w:t>
            </w:r>
          </w:p>
        </w:tc>
      </w:tr>
      <w:tr w:rsidR="008115C2" w14:paraId="6B51BB0B" w14:textId="77777777" w:rsidTr="008115C2">
        <w:trPr>
          <w:trHeight w:val="248"/>
        </w:trPr>
        <w:tc>
          <w:tcPr>
            <w:tcW w:w="905" w:type="dxa"/>
          </w:tcPr>
          <w:p w14:paraId="133243EE" w14:textId="77777777" w:rsidR="008115C2" w:rsidRPr="00B13409" w:rsidRDefault="008115C2" w:rsidP="003A2F5E">
            <w:r w:rsidRPr="00B13409">
              <w:rPr>
                <w:rFonts w:eastAsia="Arial"/>
              </w:rPr>
              <w:t>LOGD1</w:t>
            </w:r>
          </w:p>
        </w:tc>
        <w:tc>
          <w:tcPr>
            <w:tcW w:w="796" w:type="dxa"/>
          </w:tcPr>
          <w:p w14:paraId="0A64C3A0" w14:textId="77777777" w:rsidR="008115C2" w:rsidRPr="00B13409" w:rsidRDefault="008115C2" w:rsidP="003A2F5E">
            <w:r w:rsidRPr="00B13409">
              <w:rPr>
                <w:rFonts w:eastAsia="Arial"/>
              </w:rPr>
              <w:t>0.182</w:t>
            </w:r>
          </w:p>
        </w:tc>
        <w:tc>
          <w:tcPr>
            <w:tcW w:w="807" w:type="dxa"/>
          </w:tcPr>
          <w:p w14:paraId="56B19383" w14:textId="77777777" w:rsidR="008115C2" w:rsidRPr="00B13409" w:rsidRDefault="008115C2" w:rsidP="003A2F5E">
            <w:r w:rsidRPr="00B13409">
              <w:rPr>
                <w:rFonts w:eastAsia="Arial"/>
              </w:rPr>
              <w:t>0.273</w:t>
            </w:r>
          </w:p>
        </w:tc>
        <w:tc>
          <w:tcPr>
            <w:tcW w:w="797" w:type="dxa"/>
          </w:tcPr>
          <w:p w14:paraId="7574DFE1" w14:textId="77777777" w:rsidR="008115C2" w:rsidRPr="00B13409" w:rsidRDefault="008115C2" w:rsidP="003A2F5E">
            <w:r w:rsidRPr="00B13409">
              <w:rPr>
                <w:rFonts w:eastAsia="Arial"/>
              </w:rPr>
              <w:t>0.259</w:t>
            </w:r>
          </w:p>
        </w:tc>
        <w:tc>
          <w:tcPr>
            <w:tcW w:w="807" w:type="dxa"/>
          </w:tcPr>
          <w:p w14:paraId="1FBDAC08" w14:textId="77777777" w:rsidR="008115C2" w:rsidRPr="00B13409" w:rsidRDefault="008115C2" w:rsidP="003A2F5E">
            <w:r w:rsidRPr="00B13409">
              <w:rPr>
                <w:rFonts w:eastAsia="Arial"/>
              </w:rPr>
              <w:t>0.106</w:t>
            </w:r>
          </w:p>
        </w:tc>
      </w:tr>
      <w:tr w:rsidR="008115C2" w14:paraId="5A5025B6" w14:textId="77777777" w:rsidTr="008115C2">
        <w:trPr>
          <w:trHeight w:val="248"/>
        </w:trPr>
        <w:tc>
          <w:tcPr>
            <w:tcW w:w="905" w:type="dxa"/>
          </w:tcPr>
          <w:p w14:paraId="3981767B" w14:textId="77777777" w:rsidR="008115C2" w:rsidRPr="00B13409" w:rsidRDefault="008115C2" w:rsidP="003A2F5E">
            <w:r w:rsidRPr="00B13409">
              <w:t>TMA2</w:t>
            </w:r>
          </w:p>
        </w:tc>
        <w:tc>
          <w:tcPr>
            <w:tcW w:w="796" w:type="dxa"/>
          </w:tcPr>
          <w:p w14:paraId="36AB0C4C" w14:textId="77777777" w:rsidR="008115C2" w:rsidRPr="00B13409" w:rsidRDefault="008115C2" w:rsidP="003A2F5E">
            <w:r w:rsidRPr="00B13409">
              <w:t>-0.249</w:t>
            </w:r>
          </w:p>
        </w:tc>
        <w:tc>
          <w:tcPr>
            <w:tcW w:w="807" w:type="dxa"/>
          </w:tcPr>
          <w:p w14:paraId="5B03A19D" w14:textId="77777777" w:rsidR="008115C2" w:rsidRPr="00B13409" w:rsidRDefault="008115C2" w:rsidP="003A2F5E">
            <w:r w:rsidRPr="00B13409">
              <w:t>0.132</w:t>
            </w:r>
          </w:p>
        </w:tc>
        <w:tc>
          <w:tcPr>
            <w:tcW w:w="797" w:type="dxa"/>
          </w:tcPr>
          <w:p w14:paraId="355BF45B" w14:textId="77777777" w:rsidR="008115C2" w:rsidRPr="00B13409" w:rsidRDefault="008115C2" w:rsidP="003A2F5E">
            <w:r w:rsidRPr="00B13409">
              <w:t>-0.117</w:t>
            </w:r>
          </w:p>
        </w:tc>
        <w:tc>
          <w:tcPr>
            <w:tcW w:w="807" w:type="dxa"/>
          </w:tcPr>
          <w:p w14:paraId="23BA0540" w14:textId="77777777" w:rsidR="008115C2" w:rsidRPr="00B13409" w:rsidRDefault="008115C2" w:rsidP="003A2F5E">
            <w:r w:rsidRPr="00B13409">
              <w:t>0.477</w:t>
            </w:r>
          </w:p>
        </w:tc>
      </w:tr>
      <w:tr w:rsidR="008115C2" w14:paraId="276DA9D7" w14:textId="77777777" w:rsidTr="008115C2">
        <w:trPr>
          <w:trHeight w:val="248"/>
        </w:trPr>
        <w:tc>
          <w:tcPr>
            <w:tcW w:w="905" w:type="dxa"/>
          </w:tcPr>
          <w:p w14:paraId="4FC399A6" w14:textId="77777777" w:rsidR="008115C2" w:rsidRPr="00B13409" w:rsidRDefault="008115C2" w:rsidP="003A2F5E">
            <w:r w:rsidRPr="00B13409">
              <w:t>TMB2</w:t>
            </w:r>
          </w:p>
        </w:tc>
        <w:tc>
          <w:tcPr>
            <w:tcW w:w="796" w:type="dxa"/>
          </w:tcPr>
          <w:p w14:paraId="1DEA49AD" w14:textId="77777777" w:rsidR="008115C2" w:rsidRPr="00B13409" w:rsidRDefault="008115C2" w:rsidP="003A2F5E">
            <w:r w:rsidRPr="00B13409">
              <w:t>-0.334</w:t>
            </w:r>
          </w:p>
        </w:tc>
        <w:tc>
          <w:tcPr>
            <w:tcW w:w="807" w:type="dxa"/>
          </w:tcPr>
          <w:p w14:paraId="4019398E" w14:textId="77777777" w:rsidR="008115C2" w:rsidRPr="00B13409" w:rsidRDefault="008115C2" w:rsidP="003A2F5E">
            <w:r w:rsidRPr="00B13409">
              <w:t>0.046*</w:t>
            </w:r>
          </w:p>
        </w:tc>
        <w:tc>
          <w:tcPr>
            <w:tcW w:w="797" w:type="dxa"/>
          </w:tcPr>
          <w:p w14:paraId="22C1CFE9" w14:textId="77777777" w:rsidR="008115C2" w:rsidRPr="00B13409" w:rsidRDefault="008115C2" w:rsidP="003A2F5E">
            <w:r w:rsidRPr="00B13409">
              <w:t>-0.464</w:t>
            </w:r>
          </w:p>
        </w:tc>
        <w:tc>
          <w:tcPr>
            <w:tcW w:w="807" w:type="dxa"/>
          </w:tcPr>
          <w:p w14:paraId="0051D086" w14:textId="77777777" w:rsidR="008115C2" w:rsidRPr="00B13409" w:rsidRDefault="008115C2" w:rsidP="003A2F5E">
            <w:r w:rsidRPr="00B13409">
              <w:t>0.003*</w:t>
            </w:r>
          </w:p>
        </w:tc>
      </w:tr>
      <w:tr w:rsidR="008115C2" w14:paraId="4F375378" w14:textId="77777777" w:rsidTr="008115C2">
        <w:trPr>
          <w:trHeight w:val="248"/>
        </w:trPr>
        <w:tc>
          <w:tcPr>
            <w:tcW w:w="905" w:type="dxa"/>
          </w:tcPr>
          <w:p w14:paraId="35196F4E" w14:textId="77777777" w:rsidR="008115C2" w:rsidRPr="00B13409" w:rsidRDefault="008115C2" w:rsidP="003A2F5E">
            <w:r w:rsidRPr="00B13409">
              <w:t>DST2</w:t>
            </w:r>
          </w:p>
        </w:tc>
        <w:tc>
          <w:tcPr>
            <w:tcW w:w="796" w:type="dxa"/>
          </w:tcPr>
          <w:p w14:paraId="2BCFC0C7" w14:textId="77777777" w:rsidR="008115C2" w:rsidRPr="00B13409" w:rsidRDefault="008115C2" w:rsidP="003A2F5E">
            <w:r w:rsidRPr="00B13409">
              <w:t>-0.130</w:t>
            </w:r>
          </w:p>
        </w:tc>
        <w:tc>
          <w:tcPr>
            <w:tcW w:w="807" w:type="dxa"/>
          </w:tcPr>
          <w:p w14:paraId="5C236A08" w14:textId="77777777" w:rsidR="008115C2" w:rsidRPr="00B13409" w:rsidRDefault="008115C2" w:rsidP="003A2F5E">
            <w:r w:rsidRPr="00B13409">
              <w:t>0.456</w:t>
            </w:r>
          </w:p>
        </w:tc>
        <w:tc>
          <w:tcPr>
            <w:tcW w:w="797" w:type="dxa"/>
          </w:tcPr>
          <w:p w14:paraId="55A7A9A5" w14:textId="77777777" w:rsidR="008115C2" w:rsidRPr="00B13409" w:rsidRDefault="008115C2" w:rsidP="003A2F5E">
            <w:r w:rsidRPr="00B13409">
              <w:t>-0.302</w:t>
            </w:r>
          </w:p>
        </w:tc>
        <w:tc>
          <w:tcPr>
            <w:tcW w:w="807" w:type="dxa"/>
          </w:tcPr>
          <w:p w14:paraId="1C23F8A2" w14:textId="77777777" w:rsidR="008115C2" w:rsidRPr="00B13409" w:rsidRDefault="008115C2" w:rsidP="003A2F5E">
            <w:r w:rsidRPr="00B13409">
              <w:t>0.078</w:t>
            </w:r>
          </w:p>
        </w:tc>
      </w:tr>
      <w:tr w:rsidR="008115C2" w14:paraId="491118A2" w14:textId="77777777" w:rsidTr="008115C2">
        <w:trPr>
          <w:trHeight w:val="248"/>
        </w:trPr>
        <w:tc>
          <w:tcPr>
            <w:tcW w:w="905" w:type="dxa"/>
          </w:tcPr>
          <w:p w14:paraId="1889F3F8" w14:textId="77777777" w:rsidR="008115C2" w:rsidRPr="00B13409" w:rsidRDefault="008115C2" w:rsidP="003A2F5E">
            <w:r w:rsidRPr="00B13409">
              <w:t>DVT2</w:t>
            </w:r>
          </w:p>
        </w:tc>
        <w:tc>
          <w:tcPr>
            <w:tcW w:w="796" w:type="dxa"/>
          </w:tcPr>
          <w:p w14:paraId="7F612E9B" w14:textId="77777777" w:rsidR="008115C2" w:rsidRPr="00B13409" w:rsidRDefault="008115C2" w:rsidP="003A2F5E">
            <w:r w:rsidRPr="00B13409">
              <w:t>-0.007</w:t>
            </w:r>
          </w:p>
        </w:tc>
        <w:tc>
          <w:tcPr>
            <w:tcW w:w="807" w:type="dxa"/>
          </w:tcPr>
          <w:p w14:paraId="4E45F561" w14:textId="77777777" w:rsidR="008115C2" w:rsidRPr="00B13409" w:rsidRDefault="008115C2" w:rsidP="003A2F5E">
            <w:r w:rsidRPr="00B13409">
              <w:t>0.966</w:t>
            </w:r>
          </w:p>
        </w:tc>
        <w:tc>
          <w:tcPr>
            <w:tcW w:w="797" w:type="dxa"/>
          </w:tcPr>
          <w:p w14:paraId="6CE37ADA" w14:textId="77777777" w:rsidR="008115C2" w:rsidRPr="00B13409" w:rsidRDefault="008115C2" w:rsidP="003A2F5E">
            <w:r w:rsidRPr="00B13409">
              <w:t>-0.004</w:t>
            </w:r>
          </w:p>
        </w:tc>
        <w:tc>
          <w:tcPr>
            <w:tcW w:w="807" w:type="dxa"/>
          </w:tcPr>
          <w:p w14:paraId="6DECFD9F" w14:textId="77777777" w:rsidR="008115C2" w:rsidRPr="00B13409" w:rsidRDefault="008115C2" w:rsidP="003A2F5E">
            <w:r w:rsidRPr="00B13409">
              <w:t>0.983</w:t>
            </w:r>
          </w:p>
        </w:tc>
      </w:tr>
      <w:tr w:rsidR="008115C2" w14:paraId="2D5CA7A3" w14:textId="77777777" w:rsidTr="008115C2">
        <w:trPr>
          <w:trHeight w:val="248"/>
        </w:trPr>
        <w:tc>
          <w:tcPr>
            <w:tcW w:w="905" w:type="dxa"/>
          </w:tcPr>
          <w:p w14:paraId="2FEADB2A" w14:textId="77777777" w:rsidR="008115C2" w:rsidRPr="00B13409" w:rsidRDefault="008115C2" w:rsidP="003A2F5E">
            <w:r w:rsidRPr="00B13409">
              <w:t>FAS2</w:t>
            </w:r>
          </w:p>
        </w:tc>
        <w:tc>
          <w:tcPr>
            <w:tcW w:w="796" w:type="dxa"/>
          </w:tcPr>
          <w:p w14:paraId="5FE6ABB4" w14:textId="77777777" w:rsidR="008115C2" w:rsidRPr="00B13409" w:rsidRDefault="008115C2" w:rsidP="003A2F5E">
            <w:r w:rsidRPr="00B13409">
              <w:t xml:space="preserve"> -0.023</w:t>
            </w:r>
          </w:p>
        </w:tc>
        <w:tc>
          <w:tcPr>
            <w:tcW w:w="807" w:type="dxa"/>
          </w:tcPr>
          <w:p w14:paraId="2F56033D" w14:textId="77777777" w:rsidR="008115C2" w:rsidRPr="00B13409" w:rsidRDefault="008115C2" w:rsidP="003A2F5E">
            <w:r w:rsidRPr="00B13409">
              <w:t>0.893</w:t>
            </w:r>
          </w:p>
        </w:tc>
        <w:tc>
          <w:tcPr>
            <w:tcW w:w="797" w:type="dxa"/>
          </w:tcPr>
          <w:p w14:paraId="11C715C0" w14:textId="77777777" w:rsidR="008115C2" w:rsidRPr="00B13409" w:rsidRDefault="008115C2" w:rsidP="003A2F5E">
            <w:r w:rsidRPr="00B13409">
              <w:t>0.092</w:t>
            </w:r>
          </w:p>
        </w:tc>
        <w:tc>
          <w:tcPr>
            <w:tcW w:w="807" w:type="dxa"/>
          </w:tcPr>
          <w:p w14:paraId="1D9A3162" w14:textId="77777777" w:rsidR="008115C2" w:rsidRPr="00B13409" w:rsidRDefault="008115C2" w:rsidP="003A2F5E">
            <w:r w:rsidRPr="00B13409">
              <w:t>0.576</w:t>
            </w:r>
          </w:p>
        </w:tc>
      </w:tr>
      <w:tr w:rsidR="008115C2" w14:paraId="17A51EB1" w14:textId="77777777" w:rsidTr="008115C2">
        <w:trPr>
          <w:trHeight w:val="248"/>
        </w:trPr>
        <w:tc>
          <w:tcPr>
            <w:tcW w:w="905" w:type="dxa"/>
          </w:tcPr>
          <w:p w14:paraId="5697F367" w14:textId="77777777" w:rsidR="008115C2" w:rsidRPr="00B13409" w:rsidRDefault="008115C2" w:rsidP="003A2F5E">
            <w:r w:rsidRPr="00B13409">
              <w:t>LOGM2</w:t>
            </w:r>
          </w:p>
        </w:tc>
        <w:tc>
          <w:tcPr>
            <w:tcW w:w="796" w:type="dxa"/>
          </w:tcPr>
          <w:p w14:paraId="1E61926F" w14:textId="77777777" w:rsidR="008115C2" w:rsidRPr="00B13409" w:rsidRDefault="008115C2" w:rsidP="003A2F5E">
            <w:r w:rsidRPr="00B13409">
              <w:t>0.245</w:t>
            </w:r>
          </w:p>
        </w:tc>
        <w:tc>
          <w:tcPr>
            <w:tcW w:w="807" w:type="dxa"/>
          </w:tcPr>
          <w:p w14:paraId="203B61E6" w14:textId="77777777" w:rsidR="008115C2" w:rsidRPr="00B13409" w:rsidRDefault="008115C2" w:rsidP="003A2F5E">
            <w:r w:rsidRPr="00B13409">
              <w:t>0.138</w:t>
            </w:r>
          </w:p>
        </w:tc>
        <w:tc>
          <w:tcPr>
            <w:tcW w:w="797" w:type="dxa"/>
          </w:tcPr>
          <w:p w14:paraId="21278987" w14:textId="77777777" w:rsidR="008115C2" w:rsidRPr="00B13409" w:rsidRDefault="008115C2" w:rsidP="003A2F5E">
            <w:r w:rsidRPr="00B13409">
              <w:t>0.017</w:t>
            </w:r>
          </w:p>
        </w:tc>
        <w:tc>
          <w:tcPr>
            <w:tcW w:w="807" w:type="dxa"/>
          </w:tcPr>
          <w:p w14:paraId="04D3B2C6" w14:textId="77777777" w:rsidR="008115C2" w:rsidRPr="00B13409" w:rsidRDefault="008115C2" w:rsidP="003A2F5E">
            <w:r w:rsidRPr="00B13409">
              <w:t>0.920</w:t>
            </w:r>
          </w:p>
        </w:tc>
      </w:tr>
      <w:tr w:rsidR="008115C2" w14:paraId="77ABAF17" w14:textId="77777777" w:rsidTr="008115C2">
        <w:trPr>
          <w:trHeight w:val="248"/>
        </w:trPr>
        <w:tc>
          <w:tcPr>
            <w:tcW w:w="905" w:type="dxa"/>
          </w:tcPr>
          <w:p w14:paraId="34973116" w14:textId="77777777" w:rsidR="008115C2" w:rsidRPr="00B13409" w:rsidRDefault="008115C2" w:rsidP="003A2F5E">
            <w:r w:rsidRPr="00B13409">
              <w:t>LOGD2</w:t>
            </w:r>
          </w:p>
        </w:tc>
        <w:tc>
          <w:tcPr>
            <w:tcW w:w="796" w:type="dxa"/>
          </w:tcPr>
          <w:p w14:paraId="2742E918" w14:textId="77777777" w:rsidR="008115C2" w:rsidRPr="00B13409" w:rsidRDefault="008115C2" w:rsidP="003A2F5E">
            <w:r w:rsidRPr="00B13409">
              <w:t>0.084</w:t>
            </w:r>
          </w:p>
        </w:tc>
        <w:tc>
          <w:tcPr>
            <w:tcW w:w="807" w:type="dxa"/>
          </w:tcPr>
          <w:p w14:paraId="4CF4F7DD" w14:textId="77777777" w:rsidR="008115C2" w:rsidRPr="00B13409" w:rsidRDefault="008115C2" w:rsidP="003A2F5E">
            <w:r w:rsidRPr="00B13409">
              <w:t>0.627</w:t>
            </w:r>
          </w:p>
        </w:tc>
        <w:tc>
          <w:tcPr>
            <w:tcW w:w="797" w:type="dxa"/>
          </w:tcPr>
          <w:p w14:paraId="6CD5B153" w14:textId="77777777" w:rsidR="008115C2" w:rsidRPr="00B13409" w:rsidRDefault="008115C2" w:rsidP="003A2F5E">
            <w:r w:rsidRPr="00B13409">
              <w:t>-0.087</w:t>
            </w:r>
          </w:p>
        </w:tc>
        <w:tc>
          <w:tcPr>
            <w:tcW w:w="807" w:type="dxa"/>
          </w:tcPr>
          <w:p w14:paraId="5D00A766" w14:textId="77777777" w:rsidR="008115C2" w:rsidRPr="00B13409" w:rsidRDefault="008115C2" w:rsidP="003A2F5E">
            <w:r w:rsidRPr="00B13409">
              <w:t>0.599</w:t>
            </w:r>
          </w:p>
        </w:tc>
      </w:tr>
      <w:tr w:rsidR="008115C2" w14:paraId="283B00DA" w14:textId="77777777" w:rsidTr="008115C2">
        <w:trPr>
          <w:trHeight w:val="248"/>
        </w:trPr>
        <w:tc>
          <w:tcPr>
            <w:tcW w:w="905" w:type="dxa"/>
          </w:tcPr>
          <w:p w14:paraId="10690F74" w14:textId="77777777" w:rsidR="008115C2" w:rsidRPr="00B13409" w:rsidRDefault="008115C2" w:rsidP="003A2F5E">
            <w:r w:rsidRPr="00B13409">
              <w:t>TMA 3</w:t>
            </w:r>
          </w:p>
        </w:tc>
        <w:tc>
          <w:tcPr>
            <w:tcW w:w="796" w:type="dxa"/>
          </w:tcPr>
          <w:p w14:paraId="29827FA0" w14:textId="77777777" w:rsidR="008115C2" w:rsidRPr="00B13409" w:rsidRDefault="008115C2" w:rsidP="003A2F5E">
            <w:r w:rsidRPr="00B13409">
              <w:t>-0.232</w:t>
            </w:r>
          </w:p>
        </w:tc>
        <w:tc>
          <w:tcPr>
            <w:tcW w:w="807" w:type="dxa"/>
          </w:tcPr>
          <w:p w14:paraId="0E66F698" w14:textId="77777777" w:rsidR="008115C2" w:rsidRPr="00B13409" w:rsidRDefault="008115C2" w:rsidP="003A2F5E">
            <w:r w:rsidRPr="00B13409">
              <w:t>0.161</w:t>
            </w:r>
          </w:p>
        </w:tc>
        <w:tc>
          <w:tcPr>
            <w:tcW w:w="797" w:type="dxa"/>
          </w:tcPr>
          <w:p w14:paraId="1F0ED40D" w14:textId="77777777" w:rsidR="008115C2" w:rsidRPr="00B13409" w:rsidRDefault="008115C2" w:rsidP="003A2F5E">
            <w:r w:rsidRPr="00B13409">
              <w:t>-0.182</w:t>
            </w:r>
          </w:p>
        </w:tc>
        <w:tc>
          <w:tcPr>
            <w:tcW w:w="807" w:type="dxa"/>
          </w:tcPr>
          <w:p w14:paraId="16E9BE5B" w14:textId="77777777" w:rsidR="008115C2" w:rsidRPr="00B13409" w:rsidRDefault="008115C2" w:rsidP="003A2F5E">
            <w:r w:rsidRPr="00B13409">
              <w:t>0.268</w:t>
            </w:r>
          </w:p>
        </w:tc>
      </w:tr>
      <w:tr w:rsidR="008115C2" w14:paraId="066ABC2D" w14:textId="77777777" w:rsidTr="008115C2">
        <w:trPr>
          <w:trHeight w:val="248"/>
        </w:trPr>
        <w:tc>
          <w:tcPr>
            <w:tcW w:w="905" w:type="dxa"/>
          </w:tcPr>
          <w:p w14:paraId="7A9C74C6" w14:textId="77777777" w:rsidR="008115C2" w:rsidRPr="00B13409" w:rsidRDefault="008115C2" w:rsidP="003A2F5E">
            <w:r w:rsidRPr="00B13409">
              <w:t>TMB3</w:t>
            </w:r>
          </w:p>
        </w:tc>
        <w:tc>
          <w:tcPr>
            <w:tcW w:w="796" w:type="dxa"/>
          </w:tcPr>
          <w:p w14:paraId="5F38B801" w14:textId="77777777" w:rsidR="008115C2" w:rsidRPr="00B13409" w:rsidRDefault="008115C2" w:rsidP="003A2F5E">
            <w:r w:rsidRPr="00B13409">
              <w:t>-0.252</w:t>
            </w:r>
          </w:p>
        </w:tc>
        <w:tc>
          <w:tcPr>
            <w:tcW w:w="807" w:type="dxa"/>
          </w:tcPr>
          <w:p w14:paraId="1DF7E3BE" w14:textId="77777777" w:rsidR="008115C2" w:rsidRPr="00B13409" w:rsidRDefault="008115C2" w:rsidP="003A2F5E">
            <w:r w:rsidRPr="00B13409">
              <w:t>0.138</w:t>
            </w:r>
          </w:p>
        </w:tc>
        <w:tc>
          <w:tcPr>
            <w:tcW w:w="797" w:type="dxa"/>
          </w:tcPr>
          <w:p w14:paraId="49E8C0A5" w14:textId="77777777" w:rsidR="008115C2" w:rsidRPr="00B13409" w:rsidRDefault="008115C2" w:rsidP="003A2F5E">
            <w:r w:rsidRPr="00B13409">
              <w:t>-0.276</w:t>
            </w:r>
          </w:p>
        </w:tc>
        <w:tc>
          <w:tcPr>
            <w:tcW w:w="807" w:type="dxa"/>
          </w:tcPr>
          <w:p w14:paraId="013364DE" w14:textId="77777777" w:rsidR="008115C2" w:rsidRPr="00B13409" w:rsidRDefault="008115C2" w:rsidP="003A2F5E">
            <w:r w:rsidRPr="00B13409">
              <w:t>0.089</w:t>
            </w:r>
          </w:p>
        </w:tc>
      </w:tr>
      <w:tr w:rsidR="008115C2" w14:paraId="37A9F8AC" w14:textId="77777777" w:rsidTr="008115C2">
        <w:trPr>
          <w:trHeight w:val="248"/>
        </w:trPr>
        <w:tc>
          <w:tcPr>
            <w:tcW w:w="905" w:type="dxa"/>
          </w:tcPr>
          <w:p w14:paraId="47C1C252" w14:textId="77777777" w:rsidR="008115C2" w:rsidRPr="00B13409" w:rsidRDefault="008115C2" w:rsidP="003A2F5E">
            <w:r w:rsidRPr="00B13409">
              <w:t>DST 3</w:t>
            </w:r>
          </w:p>
        </w:tc>
        <w:tc>
          <w:tcPr>
            <w:tcW w:w="796" w:type="dxa"/>
          </w:tcPr>
          <w:p w14:paraId="6F489190" w14:textId="77777777" w:rsidR="008115C2" w:rsidRPr="00B13409" w:rsidRDefault="008115C2" w:rsidP="003A2F5E">
            <w:r w:rsidRPr="00B13409">
              <w:t>-0.240</w:t>
            </w:r>
          </w:p>
        </w:tc>
        <w:tc>
          <w:tcPr>
            <w:tcW w:w="807" w:type="dxa"/>
          </w:tcPr>
          <w:p w14:paraId="4E052FFB" w14:textId="77777777" w:rsidR="008115C2" w:rsidRPr="00B13409" w:rsidRDefault="008115C2" w:rsidP="003A2F5E">
            <w:r w:rsidRPr="00B13409">
              <w:t>0.165</w:t>
            </w:r>
          </w:p>
        </w:tc>
        <w:tc>
          <w:tcPr>
            <w:tcW w:w="797" w:type="dxa"/>
          </w:tcPr>
          <w:p w14:paraId="380E94F7" w14:textId="77777777" w:rsidR="008115C2" w:rsidRPr="00B13409" w:rsidRDefault="008115C2" w:rsidP="003A2F5E">
            <w:r w:rsidRPr="00B13409">
              <w:t>0.003</w:t>
            </w:r>
          </w:p>
        </w:tc>
        <w:tc>
          <w:tcPr>
            <w:tcW w:w="807" w:type="dxa"/>
          </w:tcPr>
          <w:p w14:paraId="227586F9" w14:textId="77777777" w:rsidR="008115C2" w:rsidRPr="00B13409" w:rsidRDefault="008115C2" w:rsidP="003A2F5E">
            <w:r w:rsidRPr="00B13409">
              <w:t>0.984</w:t>
            </w:r>
          </w:p>
        </w:tc>
      </w:tr>
      <w:tr w:rsidR="008115C2" w14:paraId="5604E42D" w14:textId="77777777" w:rsidTr="008115C2">
        <w:trPr>
          <w:trHeight w:val="248"/>
        </w:trPr>
        <w:tc>
          <w:tcPr>
            <w:tcW w:w="905" w:type="dxa"/>
          </w:tcPr>
          <w:p w14:paraId="0EB5B0AF" w14:textId="77777777" w:rsidR="008115C2" w:rsidRPr="00B13409" w:rsidRDefault="008115C2" w:rsidP="003A2F5E">
            <w:r w:rsidRPr="00B13409">
              <w:t>DVT3</w:t>
            </w:r>
          </w:p>
        </w:tc>
        <w:tc>
          <w:tcPr>
            <w:tcW w:w="796" w:type="dxa"/>
          </w:tcPr>
          <w:p w14:paraId="6B47E703" w14:textId="77777777" w:rsidR="008115C2" w:rsidRPr="00B13409" w:rsidRDefault="008115C2" w:rsidP="003A2F5E">
            <w:r w:rsidRPr="00B13409">
              <w:t>-0.253</w:t>
            </w:r>
          </w:p>
        </w:tc>
        <w:tc>
          <w:tcPr>
            <w:tcW w:w="807" w:type="dxa"/>
          </w:tcPr>
          <w:p w14:paraId="40765C32" w14:textId="77777777" w:rsidR="008115C2" w:rsidRPr="00B13409" w:rsidRDefault="008115C2" w:rsidP="003A2F5E">
            <w:r w:rsidRPr="00B13409">
              <w:t>0.143</w:t>
            </w:r>
          </w:p>
        </w:tc>
        <w:tc>
          <w:tcPr>
            <w:tcW w:w="797" w:type="dxa"/>
          </w:tcPr>
          <w:p w14:paraId="17BBB89E" w14:textId="77777777" w:rsidR="008115C2" w:rsidRPr="00B13409" w:rsidRDefault="008115C2" w:rsidP="003A2F5E">
            <w:r w:rsidRPr="00B13409">
              <w:t>0.099</w:t>
            </w:r>
          </w:p>
        </w:tc>
        <w:tc>
          <w:tcPr>
            <w:tcW w:w="807" w:type="dxa"/>
          </w:tcPr>
          <w:p w14:paraId="17A63FB2" w14:textId="77777777" w:rsidR="008115C2" w:rsidRPr="00B13409" w:rsidRDefault="008115C2" w:rsidP="003A2F5E">
            <w:r w:rsidRPr="00B13409">
              <w:t>0.572</w:t>
            </w:r>
          </w:p>
        </w:tc>
      </w:tr>
      <w:tr w:rsidR="008115C2" w14:paraId="1CA6CAC4" w14:textId="77777777" w:rsidTr="008115C2">
        <w:trPr>
          <w:trHeight w:val="248"/>
        </w:trPr>
        <w:tc>
          <w:tcPr>
            <w:tcW w:w="905" w:type="dxa"/>
          </w:tcPr>
          <w:p w14:paraId="14B26FC9" w14:textId="77777777" w:rsidR="008115C2" w:rsidRPr="00B13409" w:rsidRDefault="008115C2" w:rsidP="003A2F5E">
            <w:r w:rsidRPr="00B13409">
              <w:t>FAS3</w:t>
            </w:r>
          </w:p>
        </w:tc>
        <w:tc>
          <w:tcPr>
            <w:tcW w:w="796" w:type="dxa"/>
          </w:tcPr>
          <w:p w14:paraId="1C7738E7" w14:textId="77777777" w:rsidR="008115C2" w:rsidRPr="00B13409" w:rsidRDefault="008115C2" w:rsidP="003A2F5E">
            <w:r w:rsidRPr="00B13409">
              <w:t>0.040</w:t>
            </w:r>
          </w:p>
        </w:tc>
        <w:tc>
          <w:tcPr>
            <w:tcW w:w="807" w:type="dxa"/>
          </w:tcPr>
          <w:p w14:paraId="24CEC951" w14:textId="77777777" w:rsidR="008115C2" w:rsidRPr="00B13409" w:rsidRDefault="008115C2" w:rsidP="003A2F5E">
            <w:r w:rsidRPr="00B13409">
              <w:t>0.812</w:t>
            </w:r>
          </w:p>
        </w:tc>
        <w:tc>
          <w:tcPr>
            <w:tcW w:w="797" w:type="dxa"/>
          </w:tcPr>
          <w:p w14:paraId="2C0DE246" w14:textId="77777777" w:rsidR="008115C2" w:rsidRPr="00B13409" w:rsidRDefault="008115C2" w:rsidP="003A2F5E">
            <w:r w:rsidRPr="00B13409">
              <w:t>0.035</w:t>
            </w:r>
          </w:p>
        </w:tc>
        <w:tc>
          <w:tcPr>
            <w:tcW w:w="807" w:type="dxa"/>
          </w:tcPr>
          <w:p w14:paraId="2BAE5399" w14:textId="77777777" w:rsidR="008115C2" w:rsidRPr="00B13409" w:rsidRDefault="008115C2" w:rsidP="003A2F5E">
            <w:r w:rsidRPr="00B13409">
              <w:t>0.835</w:t>
            </w:r>
          </w:p>
        </w:tc>
      </w:tr>
      <w:tr w:rsidR="008115C2" w14:paraId="79D11663" w14:textId="77777777" w:rsidTr="008115C2">
        <w:trPr>
          <w:trHeight w:val="248"/>
        </w:trPr>
        <w:tc>
          <w:tcPr>
            <w:tcW w:w="905" w:type="dxa"/>
          </w:tcPr>
          <w:p w14:paraId="45BD8F5A" w14:textId="77777777" w:rsidR="008115C2" w:rsidRPr="00B13409" w:rsidRDefault="008115C2" w:rsidP="003A2F5E">
            <w:r w:rsidRPr="00B13409">
              <w:t>LOGM3</w:t>
            </w:r>
          </w:p>
        </w:tc>
        <w:tc>
          <w:tcPr>
            <w:tcW w:w="796" w:type="dxa"/>
          </w:tcPr>
          <w:p w14:paraId="14315AD9" w14:textId="77777777" w:rsidR="008115C2" w:rsidRPr="00B13409" w:rsidRDefault="008115C2" w:rsidP="003A2F5E">
            <w:r w:rsidRPr="00B13409">
              <w:t>0.124</w:t>
            </w:r>
          </w:p>
        </w:tc>
        <w:tc>
          <w:tcPr>
            <w:tcW w:w="807" w:type="dxa"/>
          </w:tcPr>
          <w:p w14:paraId="4476E091" w14:textId="77777777" w:rsidR="008115C2" w:rsidRPr="00B13409" w:rsidRDefault="008115C2" w:rsidP="003A2F5E">
            <w:r w:rsidRPr="00B13409">
              <w:t>0.458</w:t>
            </w:r>
          </w:p>
        </w:tc>
        <w:tc>
          <w:tcPr>
            <w:tcW w:w="797" w:type="dxa"/>
          </w:tcPr>
          <w:p w14:paraId="1F91FB30" w14:textId="77777777" w:rsidR="008115C2" w:rsidRPr="00B13409" w:rsidRDefault="008115C2" w:rsidP="003A2F5E">
            <w:r w:rsidRPr="00B13409">
              <w:t>0.257</w:t>
            </w:r>
          </w:p>
        </w:tc>
        <w:tc>
          <w:tcPr>
            <w:tcW w:w="807" w:type="dxa"/>
          </w:tcPr>
          <w:p w14:paraId="3E5E121E" w14:textId="77777777" w:rsidR="008115C2" w:rsidRPr="00B13409" w:rsidRDefault="008115C2" w:rsidP="003A2F5E">
            <w:r w:rsidRPr="00B13409">
              <w:t>0.114</w:t>
            </w:r>
          </w:p>
        </w:tc>
      </w:tr>
      <w:tr w:rsidR="008115C2" w14:paraId="34563C4C" w14:textId="77777777" w:rsidTr="008115C2">
        <w:trPr>
          <w:trHeight w:val="248"/>
        </w:trPr>
        <w:tc>
          <w:tcPr>
            <w:tcW w:w="905" w:type="dxa"/>
          </w:tcPr>
          <w:p w14:paraId="6554CF72" w14:textId="77777777" w:rsidR="008115C2" w:rsidRPr="00B13409" w:rsidRDefault="008115C2" w:rsidP="003A2F5E">
            <w:r w:rsidRPr="00B13409">
              <w:t>LOGD3</w:t>
            </w:r>
          </w:p>
        </w:tc>
        <w:tc>
          <w:tcPr>
            <w:tcW w:w="796" w:type="dxa"/>
          </w:tcPr>
          <w:p w14:paraId="01A72F72" w14:textId="77777777" w:rsidR="008115C2" w:rsidRPr="00B13409" w:rsidRDefault="008115C2" w:rsidP="003A2F5E">
            <w:r w:rsidRPr="00B13409">
              <w:t>-0.054</w:t>
            </w:r>
          </w:p>
        </w:tc>
        <w:tc>
          <w:tcPr>
            <w:tcW w:w="807" w:type="dxa"/>
          </w:tcPr>
          <w:p w14:paraId="05D3D287" w14:textId="77777777" w:rsidR="008115C2" w:rsidRPr="00B13409" w:rsidRDefault="008115C2" w:rsidP="003A2F5E">
            <w:r w:rsidRPr="00B13409">
              <w:t>0.752</w:t>
            </w:r>
          </w:p>
        </w:tc>
        <w:tc>
          <w:tcPr>
            <w:tcW w:w="797" w:type="dxa"/>
          </w:tcPr>
          <w:p w14:paraId="2A403BAB" w14:textId="77777777" w:rsidR="008115C2" w:rsidRPr="00B13409" w:rsidRDefault="008115C2" w:rsidP="003A2F5E">
            <w:r w:rsidRPr="00B13409">
              <w:t>0.015</w:t>
            </w:r>
          </w:p>
        </w:tc>
        <w:tc>
          <w:tcPr>
            <w:tcW w:w="807" w:type="dxa"/>
          </w:tcPr>
          <w:p w14:paraId="7D3DDE0D" w14:textId="77777777" w:rsidR="008115C2" w:rsidRPr="00B13409" w:rsidRDefault="008115C2" w:rsidP="003A2F5E">
            <w:r w:rsidRPr="00B13409">
              <w:t>0.927</w:t>
            </w:r>
          </w:p>
        </w:tc>
      </w:tr>
    </w:tbl>
    <w:p w14:paraId="7363CCCA" w14:textId="59F0C804" w:rsidR="00381553" w:rsidRPr="00B13409" w:rsidRDefault="00866BE9" w:rsidP="00381553">
      <w:pPr>
        <w:autoSpaceDE w:val="0"/>
        <w:autoSpaceDN w:val="0"/>
        <w:adjustRightInd w:val="0"/>
        <w:spacing w:after="0" w:line="360" w:lineRule="auto"/>
        <w:jc w:val="both"/>
        <w:rPr>
          <w:rFonts w:ascii="Times New Roman" w:hAnsi="Times New Roman" w:cs="Times New Roman"/>
          <w:b/>
          <w:sz w:val="16"/>
          <w:szCs w:val="16"/>
        </w:rPr>
      </w:pPr>
      <w:r w:rsidRPr="00B13409">
        <w:rPr>
          <w:rFonts w:ascii="Times New Roman" w:hAnsi="Times New Roman" w:cs="Times New Roman"/>
          <w:i/>
          <w:sz w:val="16"/>
          <w:szCs w:val="16"/>
        </w:rPr>
        <w:t>Significant*; WOP- without psycho</w:t>
      </w:r>
      <w:r w:rsidR="00B13409">
        <w:rPr>
          <w:rFonts w:ascii="Times New Roman" w:hAnsi="Times New Roman" w:cs="Times New Roman"/>
          <w:i/>
          <w:sz w:val="16"/>
          <w:szCs w:val="16"/>
        </w:rPr>
        <w:t>tic features</w:t>
      </w:r>
      <w:r w:rsidRPr="00B13409">
        <w:rPr>
          <w:rFonts w:ascii="Times New Roman" w:hAnsi="Times New Roman" w:cs="Times New Roman"/>
          <w:i/>
          <w:sz w:val="16"/>
          <w:szCs w:val="16"/>
        </w:rPr>
        <w:t>; WP-with psycho</w:t>
      </w:r>
      <w:r w:rsidR="00B13409">
        <w:rPr>
          <w:rFonts w:ascii="Times New Roman" w:hAnsi="Times New Roman" w:cs="Times New Roman"/>
          <w:i/>
          <w:sz w:val="16"/>
          <w:szCs w:val="16"/>
        </w:rPr>
        <w:t>tic features</w:t>
      </w:r>
    </w:p>
    <w:p w14:paraId="0A262260" w14:textId="77777777" w:rsidR="00B13409" w:rsidRDefault="00B13409"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76DE1740" w14:textId="77777777" w:rsidR="00B13409" w:rsidRDefault="00B13409"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2716744D" w14:textId="77777777" w:rsidR="005D4649" w:rsidRDefault="005D4649"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73801CE5"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25E87EBC"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75078A97"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28BCDEC1"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3992EF69"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30C8B123"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24D2E94C"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0144F6B7"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5E3387EB"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5C9502B9"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6EAD25D9" w14:textId="77777777" w:rsidR="000779A4" w:rsidRDefault="000779A4" w:rsidP="00381553">
      <w:pPr>
        <w:autoSpaceDE w:val="0"/>
        <w:autoSpaceDN w:val="0"/>
        <w:adjustRightInd w:val="0"/>
        <w:spacing w:after="0" w:line="360" w:lineRule="auto"/>
        <w:jc w:val="both"/>
        <w:rPr>
          <w:rFonts w:ascii="Times New Roman" w:hAnsi="Times New Roman" w:cs="Times New Roman"/>
          <w:b/>
          <w:bCs/>
          <w:color w:val="000000"/>
          <w:sz w:val="24"/>
          <w:szCs w:val="24"/>
        </w:rPr>
      </w:pPr>
    </w:p>
    <w:p w14:paraId="5E62F333" w14:textId="70D9CD7D" w:rsidR="00381553" w:rsidRPr="005A19BD" w:rsidRDefault="00381553" w:rsidP="00381553">
      <w:pPr>
        <w:autoSpaceDE w:val="0"/>
        <w:autoSpaceDN w:val="0"/>
        <w:adjustRightInd w:val="0"/>
        <w:spacing w:after="0" w:line="36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lastRenderedPageBreak/>
        <w:t>7.</w:t>
      </w:r>
      <w:r w:rsidRPr="00E3084C">
        <w:rPr>
          <w:rFonts w:ascii="Times New Roman" w:hAnsi="Times New Roman" w:cs="Times New Roman"/>
          <w:b/>
          <w:bCs/>
          <w:color w:val="000000"/>
          <w:sz w:val="24"/>
          <w:szCs w:val="24"/>
        </w:rPr>
        <w:t>REFERENCES:</w:t>
      </w:r>
    </w:p>
    <w:p w14:paraId="412F92A8" w14:textId="77777777" w:rsidR="005108BC" w:rsidRPr="00E3084C" w:rsidRDefault="005108BC" w:rsidP="005108BC">
      <w:pPr>
        <w:pStyle w:val="Default"/>
        <w:spacing w:line="360" w:lineRule="auto"/>
        <w:ind w:left="360"/>
        <w:jc w:val="both"/>
        <w:rPr>
          <w:rFonts w:ascii="Times New Roman" w:hAnsi="Times New Roman" w:cs="Times New Roman"/>
          <w:bCs/>
        </w:rPr>
      </w:pPr>
    </w:p>
    <w:p w14:paraId="328B9D84" w14:textId="15229C3B" w:rsidR="002C6927" w:rsidRPr="002C6927" w:rsidRDefault="00B9642F"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Pr>
          <w:rFonts w:ascii="Times New Roman" w:hAnsi="Times New Roman" w:cs="Times New Roman"/>
          <w:bCs/>
        </w:rPr>
        <w:fldChar w:fldCharType="begin" w:fldLock="1"/>
      </w:r>
      <w:r>
        <w:rPr>
          <w:rFonts w:ascii="Times New Roman" w:hAnsi="Times New Roman" w:cs="Times New Roman"/>
          <w:bCs/>
        </w:rPr>
        <w:instrText xml:space="preserve">ADDIN Mendeley Bibliography CSL_BIBLIOGRAPHY </w:instrText>
      </w:r>
      <w:r>
        <w:rPr>
          <w:rFonts w:ascii="Times New Roman" w:hAnsi="Times New Roman" w:cs="Times New Roman"/>
          <w:bCs/>
        </w:rPr>
        <w:fldChar w:fldCharType="separate"/>
      </w:r>
      <w:r w:rsidR="002C6927" w:rsidRPr="002C6927">
        <w:rPr>
          <w:rFonts w:ascii="Times New Roman" w:hAnsi="Times New Roman" w:cs="Times New Roman"/>
          <w:noProof/>
          <w:sz w:val="24"/>
          <w:szCs w:val="24"/>
        </w:rPr>
        <w:t xml:space="preserve">Burdick, K. E., Goldberg, J. F., &amp; Harrow, M. (2010). Neurocognitive dysfunction and psychosocial outcome in patients with bipolar I disorder at 15 year follow-up. </w:t>
      </w:r>
      <w:r w:rsidR="002C6927" w:rsidRPr="002C6927">
        <w:rPr>
          <w:rFonts w:ascii="Times New Roman" w:hAnsi="Times New Roman" w:cs="Times New Roman"/>
          <w:i/>
          <w:iCs/>
          <w:noProof/>
          <w:sz w:val="24"/>
          <w:szCs w:val="24"/>
        </w:rPr>
        <w:t>Acta Psychiatrica Scandinavica</w:t>
      </w:r>
      <w:r w:rsidR="002C6927" w:rsidRPr="002C6927">
        <w:rPr>
          <w:rFonts w:ascii="Times New Roman" w:hAnsi="Times New Roman" w:cs="Times New Roman"/>
          <w:noProof/>
          <w:sz w:val="24"/>
          <w:szCs w:val="24"/>
        </w:rPr>
        <w:t>. https://doi.org/10.1111/j.1600-0447.2010.01590.x</w:t>
      </w:r>
    </w:p>
    <w:p w14:paraId="3126A5D9"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Burton, C. Z., Ryan, K. A., Kamali, M., Marshall, D. F., Harrington, G., McInnis, M. G., &amp; Tso, I. F. (2018). Psychosis in bipolar disorder: Does it represent a more “severe” illness? </w:t>
      </w:r>
      <w:r w:rsidRPr="002C6927">
        <w:rPr>
          <w:rFonts w:ascii="Times New Roman" w:hAnsi="Times New Roman" w:cs="Times New Roman"/>
          <w:i/>
          <w:iCs/>
          <w:noProof/>
          <w:sz w:val="24"/>
          <w:szCs w:val="24"/>
        </w:rPr>
        <w:t>Bipolar Disorders</w:t>
      </w:r>
      <w:r w:rsidRPr="002C6927">
        <w:rPr>
          <w:rFonts w:ascii="Times New Roman" w:hAnsi="Times New Roman" w:cs="Times New Roman"/>
          <w:noProof/>
          <w:sz w:val="24"/>
          <w:szCs w:val="24"/>
        </w:rPr>
        <w:t>. https://doi.org/10.1111/bdi.12527</w:t>
      </w:r>
    </w:p>
    <w:p w14:paraId="32B547F4"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Clark, L., Iversen, S. D., &amp; Goodwin, G. M. (2002). Sustained attention deficit in bipolar disorder. </w:t>
      </w:r>
      <w:r w:rsidRPr="002C6927">
        <w:rPr>
          <w:rFonts w:ascii="Times New Roman" w:hAnsi="Times New Roman" w:cs="Times New Roman"/>
          <w:i/>
          <w:iCs/>
          <w:noProof/>
          <w:sz w:val="24"/>
          <w:szCs w:val="24"/>
        </w:rPr>
        <w:t>British Journal of Psychiatry</w:t>
      </w:r>
      <w:r w:rsidRPr="002C6927">
        <w:rPr>
          <w:rFonts w:ascii="Times New Roman" w:hAnsi="Times New Roman" w:cs="Times New Roman"/>
          <w:noProof/>
          <w:sz w:val="24"/>
          <w:szCs w:val="24"/>
        </w:rPr>
        <w:t>. https://doi.org/10.1192/bjp.180.4.313</w:t>
      </w:r>
    </w:p>
    <w:p w14:paraId="6F963879"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Duarte, W., Becerra, R., &amp; Cruise, K. (2016). The relationship between neurocognitive functioning and occupational functioning in bipolar disorder: A literature review. In </w:t>
      </w:r>
      <w:r w:rsidRPr="002C6927">
        <w:rPr>
          <w:rFonts w:ascii="Times New Roman" w:hAnsi="Times New Roman" w:cs="Times New Roman"/>
          <w:i/>
          <w:iCs/>
          <w:noProof/>
          <w:sz w:val="24"/>
          <w:szCs w:val="24"/>
        </w:rPr>
        <w:t>Europe’s Journal of Psychology</w:t>
      </w:r>
      <w:r w:rsidRPr="002C6927">
        <w:rPr>
          <w:rFonts w:ascii="Times New Roman" w:hAnsi="Times New Roman" w:cs="Times New Roman"/>
          <w:noProof/>
          <w:sz w:val="24"/>
          <w:szCs w:val="24"/>
        </w:rPr>
        <w:t>. https://doi.org/10.5964/ejop.v12i4.909</w:t>
      </w:r>
    </w:p>
    <w:p w14:paraId="71017C2E"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Glahn, D. C., Bearden, C. E., Barguil, M., Barrett, J., Reichenberg, A., Bowden, C. L., Soares, J. C., &amp; Velligan, D. I. (2007). The Neurocognitive Signature of Psychotic Bipolar Disorder. </w:t>
      </w:r>
      <w:r w:rsidRPr="002C6927">
        <w:rPr>
          <w:rFonts w:ascii="Times New Roman" w:hAnsi="Times New Roman" w:cs="Times New Roman"/>
          <w:i/>
          <w:iCs/>
          <w:noProof/>
          <w:sz w:val="24"/>
          <w:szCs w:val="24"/>
        </w:rPr>
        <w:t>Biological Psychiatry</w:t>
      </w:r>
      <w:r w:rsidRPr="002C6927">
        <w:rPr>
          <w:rFonts w:ascii="Times New Roman" w:hAnsi="Times New Roman" w:cs="Times New Roman"/>
          <w:noProof/>
          <w:sz w:val="24"/>
          <w:szCs w:val="24"/>
        </w:rPr>
        <w:t>. https://doi.org/10.1016/j.biopsych.2007.02.001</w:t>
      </w:r>
    </w:p>
    <w:p w14:paraId="6105E539"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Konstantakopoulos, G., Ioannidi, N., Typaldou, M., Sakkas, D., &amp; Oulis, P. (2016). Clinical and cognitive factors affecting psychosocial functioning in remitted patients with bipolar disorder. </w:t>
      </w:r>
      <w:r w:rsidRPr="002C6927">
        <w:rPr>
          <w:rFonts w:ascii="Times New Roman" w:hAnsi="Times New Roman" w:cs="Times New Roman"/>
          <w:i/>
          <w:iCs/>
          <w:noProof/>
          <w:sz w:val="24"/>
          <w:szCs w:val="24"/>
        </w:rPr>
        <w:t>Psychiatrike = Psychiatriki</w:t>
      </w:r>
      <w:r w:rsidRPr="002C6927">
        <w:rPr>
          <w:rFonts w:ascii="Times New Roman" w:hAnsi="Times New Roman" w:cs="Times New Roman"/>
          <w:noProof/>
          <w:sz w:val="24"/>
          <w:szCs w:val="24"/>
        </w:rPr>
        <w:t>. https://doi.org/10.22365/jpsych.2016.273.182</w:t>
      </w:r>
    </w:p>
    <w:p w14:paraId="3A37A6EE"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Latalova, K., Prasko, J., Diveky, T., &amp; Velartova, H. (2011). Cognitive impairment in bipolar disorder. </w:t>
      </w:r>
      <w:r w:rsidRPr="002C6927">
        <w:rPr>
          <w:rFonts w:ascii="Times New Roman" w:hAnsi="Times New Roman" w:cs="Times New Roman"/>
          <w:i/>
          <w:iCs/>
          <w:noProof/>
          <w:sz w:val="24"/>
          <w:szCs w:val="24"/>
        </w:rPr>
        <w:t>Biomedical Papers</w:t>
      </w:r>
      <w:r w:rsidRPr="002C6927">
        <w:rPr>
          <w:rFonts w:ascii="Times New Roman" w:hAnsi="Times New Roman" w:cs="Times New Roman"/>
          <w:noProof/>
          <w:sz w:val="24"/>
          <w:szCs w:val="24"/>
        </w:rPr>
        <w:t>. https://doi.org/10.5507/bp.155.2011.003</w:t>
      </w:r>
    </w:p>
    <w:p w14:paraId="040BCF88"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Levy, B., Medina, A. M., &amp; Weiss, R. D. (2013). Cognitive and psychosocial functioning in bipolar disorder with and without psychosis during early remission from an acute mood episode: A comparative longitudinal study. </w:t>
      </w:r>
      <w:r w:rsidRPr="002C6927">
        <w:rPr>
          <w:rFonts w:ascii="Times New Roman" w:hAnsi="Times New Roman" w:cs="Times New Roman"/>
          <w:i/>
          <w:iCs/>
          <w:noProof/>
          <w:sz w:val="24"/>
          <w:szCs w:val="24"/>
        </w:rPr>
        <w:t>Comprehensive Psychiatry</w:t>
      </w:r>
      <w:r w:rsidRPr="002C6927">
        <w:rPr>
          <w:rFonts w:ascii="Times New Roman" w:hAnsi="Times New Roman" w:cs="Times New Roman"/>
          <w:noProof/>
          <w:sz w:val="24"/>
          <w:szCs w:val="24"/>
        </w:rPr>
        <w:t>. https://doi.org/10.1016/j.comppsych.2012.12.018</w:t>
      </w:r>
    </w:p>
    <w:p w14:paraId="54254A6E"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Levy, B., &amp; Weiss, R. D. (2010). Neurocognitive impairment and psychosis in bipolar I disorder during early remission from an acute episode of mood disturbance. </w:t>
      </w:r>
      <w:r w:rsidRPr="002C6927">
        <w:rPr>
          <w:rFonts w:ascii="Times New Roman" w:hAnsi="Times New Roman" w:cs="Times New Roman"/>
          <w:i/>
          <w:iCs/>
          <w:noProof/>
          <w:sz w:val="24"/>
          <w:szCs w:val="24"/>
        </w:rPr>
        <w:t>Journal of Clinical Psychiatry</w:t>
      </w:r>
      <w:r w:rsidRPr="002C6927">
        <w:rPr>
          <w:rFonts w:ascii="Times New Roman" w:hAnsi="Times New Roman" w:cs="Times New Roman"/>
          <w:noProof/>
          <w:sz w:val="24"/>
          <w:szCs w:val="24"/>
        </w:rPr>
        <w:t>. https://doi.org/10.4088/JCP.08m04663yel</w:t>
      </w:r>
    </w:p>
    <w:p w14:paraId="35A53661"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Martinez-Aran, A., Torrent, C., Tabares-Seisdedos, R., Salamero, M., Daban, C., Balanza-Martinez, V., Sanchez-Moreno, J., Goikolea, J. M., Benabarre, A., Colom, F., &amp; Vieta, E. (2008). Neurocognitive impairment in bipolar patients with and without history of </w:t>
      </w:r>
      <w:r w:rsidRPr="002C6927">
        <w:rPr>
          <w:rFonts w:ascii="Times New Roman" w:hAnsi="Times New Roman" w:cs="Times New Roman"/>
          <w:noProof/>
          <w:sz w:val="24"/>
          <w:szCs w:val="24"/>
        </w:rPr>
        <w:lastRenderedPageBreak/>
        <w:t xml:space="preserve">psychosis. </w:t>
      </w:r>
      <w:r w:rsidRPr="002C6927">
        <w:rPr>
          <w:rFonts w:ascii="Times New Roman" w:hAnsi="Times New Roman" w:cs="Times New Roman"/>
          <w:i/>
          <w:iCs/>
          <w:noProof/>
          <w:sz w:val="24"/>
          <w:szCs w:val="24"/>
        </w:rPr>
        <w:t>Journal of Clinical Psychiatry</w:t>
      </w:r>
      <w:r w:rsidRPr="002C6927">
        <w:rPr>
          <w:rFonts w:ascii="Times New Roman" w:hAnsi="Times New Roman" w:cs="Times New Roman"/>
          <w:noProof/>
          <w:sz w:val="24"/>
          <w:szCs w:val="24"/>
        </w:rPr>
        <w:t>. https://doi.org/10.4088/JCP.v69n0209</w:t>
      </w:r>
    </w:p>
    <w:p w14:paraId="1E23E79B"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Mur, M., Portella, M. J., Martinez-Aran, A., Pifarre, J., &amp; Vieta, E. (2009). Influence of clinical and neuropsychological variables on the psychosocial and occupational outcome of remitted bipolar patients. </w:t>
      </w:r>
      <w:r w:rsidRPr="002C6927">
        <w:rPr>
          <w:rFonts w:ascii="Times New Roman" w:hAnsi="Times New Roman" w:cs="Times New Roman"/>
          <w:i/>
          <w:iCs/>
          <w:noProof/>
          <w:sz w:val="24"/>
          <w:szCs w:val="24"/>
        </w:rPr>
        <w:t>Psychopathology</w:t>
      </w:r>
      <w:r w:rsidRPr="002C6927">
        <w:rPr>
          <w:rFonts w:ascii="Times New Roman" w:hAnsi="Times New Roman" w:cs="Times New Roman"/>
          <w:noProof/>
          <w:sz w:val="24"/>
          <w:szCs w:val="24"/>
        </w:rPr>
        <w:t>. https://doi.org/10.1159/000207456</w:t>
      </w:r>
    </w:p>
    <w:p w14:paraId="6278D9E8"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Padmavati, R., &amp; Taj, M. (2005). Neuropsychological impairment in bipolar affective disorder. </w:t>
      </w:r>
      <w:r w:rsidRPr="002C6927">
        <w:rPr>
          <w:rFonts w:ascii="Times New Roman" w:hAnsi="Times New Roman" w:cs="Times New Roman"/>
          <w:i/>
          <w:iCs/>
          <w:noProof/>
          <w:sz w:val="24"/>
          <w:szCs w:val="24"/>
        </w:rPr>
        <w:t>Indian Journal of Psychiatry</w:t>
      </w:r>
      <w:r w:rsidRPr="002C6927">
        <w:rPr>
          <w:rFonts w:ascii="Times New Roman" w:hAnsi="Times New Roman" w:cs="Times New Roman"/>
          <w:noProof/>
          <w:sz w:val="24"/>
          <w:szCs w:val="24"/>
        </w:rPr>
        <w:t>. https://doi.org/10.4103/0019-5545.46075</w:t>
      </w:r>
    </w:p>
    <w:p w14:paraId="514C86C0"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Pattanayak, R. D., Sagar, R., &amp; Mehta, M. (2012). Neuropsychological performance in euthymic Indian patients with bipolar disorder type I: Correlation between quality of life and global functioning. </w:t>
      </w:r>
      <w:r w:rsidRPr="002C6927">
        <w:rPr>
          <w:rFonts w:ascii="Times New Roman" w:hAnsi="Times New Roman" w:cs="Times New Roman"/>
          <w:i/>
          <w:iCs/>
          <w:noProof/>
          <w:sz w:val="24"/>
          <w:szCs w:val="24"/>
        </w:rPr>
        <w:t>Psychiatry and Clinical Neurosciences</w:t>
      </w:r>
      <w:r w:rsidRPr="002C6927">
        <w:rPr>
          <w:rFonts w:ascii="Times New Roman" w:hAnsi="Times New Roman" w:cs="Times New Roman"/>
          <w:noProof/>
          <w:sz w:val="24"/>
          <w:szCs w:val="24"/>
        </w:rPr>
        <w:t>. https://doi.org/10.1111/j.1440-1819.2012.02400.x</w:t>
      </w:r>
    </w:p>
    <w:p w14:paraId="7FDA5C0C"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Sadock, B. J. (2009). Kaplan and Sadock’s Comprehensive Textbook of Psychiatry (Comprehensive Textbook of Psychiatry (Kaplan &amp; Saddock’s)(2). In </w:t>
      </w:r>
      <w:r w:rsidRPr="002C6927">
        <w:rPr>
          <w:rFonts w:ascii="Times New Roman" w:hAnsi="Times New Roman" w:cs="Times New Roman"/>
          <w:i/>
          <w:iCs/>
          <w:noProof/>
          <w:sz w:val="24"/>
          <w:szCs w:val="24"/>
        </w:rPr>
        <w:t>Kaplan &amp; Sadock’s Comprehensive Textbook of Psychiatry, Çeviri Editörleri: Aydın H, Bozkurt A, Sekizinci Baskı, Güneş Kitabevi</w:t>
      </w:r>
      <w:r w:rsidRPr="002C6927">
        <w:rPr>
          <w:rFonts w:ascii="Times New Roman" w:hAnsi="Times New Roman" w:cs="Times New Roman"/>
          <w:noProof/>
          <w:sz w:val="24"/>
          <w:szCs w:val="24"/>
        </w:rPr>
        <w:t>.</w:t>
      </w:r>
    </w:p>
    <w:p w14:paraId="770A3290"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Savitz, J., Van Der Merwe, L., Stein, D. J., Solms, M., &amp; Ramesar, R. (2009). Neuropsychological status of bipolar I disorder: Impact of psychosis. </w:t>
      </w:r>
      <w:r w:rsidRPr="002C6927">
        <w:rPr>
          <w:rFonts w:ascii="Times New Roman" w:hAnsi="Times New Roman" w:cs="Times New Roman"/>
          <w:i/>
          <w:iCs/>
          <w:noProof/>
          <w:sz w:val="24"/>
          <w:szCs w:val="24"/>
        </w:rPr>
        <w:t>British Journal of Psychiatry</w:t>
      </w:r>
      <w:r w:rsidRPr="002C6927">
        <w:rPr>
          <w:rFonts w:ascii="Times New Roman" w:hAnsi="Times New Roman" w:cs="Times New Roman"/>
          <w:noProof/>
          <w:sz w:val="24"/>
          <w:szCs w:val="24"/>
        </w:rPr>
        <w:t>. https://doi.org/10.1192/bjp.bp.108.052001</w:t>
      </w:r>
    </w:p>
    <w:p w14:paraId="5D42C867"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Solé, B., Jiménez, E., Torrent, C., Reinares, M., Del Mar Bonnin, C., Torres, I., Varo, C., Grande, I., Valls, E., Salagre, E., Sanchez-Moreno, J., Martinez-Aran, A., Carvalho, A. F., &amp; Vieta, E. (2017). Cognitive impairment in bipolar disorder: Treatment and prevention strategies. In </w:t>
      </w:r>
      <w:r w:rsidRPr="002C6927">
        <w:rPr>
          <w:rFonts w:ascii="Times New Roman" w:hAnsi="Times New Roman" w:cs="Times New Roman"/>
          <w:i/>
          <w:iCs/>
          <w:noProof/>
          <w:sz w:val="24"/>
          <w:szCs w:val="24"/>
        </w:rPr>
        <w:t>International Journal of Neuropsychopharmacology</w:t>
      </w:r>
      <w:r w:rsidRPr="002C6927">
        <w:rPr>
          <w:rFonts w:ascii="Times New Roman" w:hAnsi="Times New Roman" w:cs="Times New Roman"/>
          <w:noProof/>
          <w:sz w:val="24"/>
          <w:szCs w:val="24"/>
        </w:rPr>
        <w:t>. https://doi.org/10.1093/ijnp/pyx032</w:t>
      </w:r>
    </w:p>
    <w:p w14:paraId="660F0EA0"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szCs w:val="24"/>
        </w:rPr>
      </w:pPr>
      <w:r w:rsidRPr="002C6927">
        <w:rPr>
          <w:rFonts w:ascii="Times New Roman" w:hAnsi="Times New Roman" w:cs="Times New Roman"/>
          <w:noProof/>
          <w:sz w:val="24"/>
          <w:szCs w:val="24"/>
        </w:rPr>
        <w:t xml:space="preserve">Udal, A. H., Øygarden, B., Egeland, J., Malt, U. F., Løvdahl, H., Pripp, A. H., &amp; Grøholt, B. (2013). Executive deficits in early onset bipolar disorder versus ADHD: Impact of processing speed and lifetime psychosis. </w:t>
      </w:r>
      <w:r w:rsidRPr="002C6927">
        <w:rPr>
          <w:rFonts w:ascii="Times New Roman" w:hAnsi="Times New Roman" w:cs="Times New Roman"/>
          <w:i/>
          <w:iCs/>
          <w:noProof/>
          <w:sz w:val="24"/>
          <w:szCs w:val="24"/>
        </w:rPr>
        <w:t>Clinical Child Psychology and Psychiatry</w:t>
      </w:r>
      <w:r w:rsidRPr="002C6927">
        <w:rPr>
          <w:rFonts w:ascii="Times New Roman" w:hAnsi="Times New Roman" w:cs="Times New Roman"/>
          <w:noProof/>
          <w:sz w:val="24"/>
          <w:szCs w:val="24"/>
        </w:rPr>
        <w:t>. https://doi.org/10.1177/1359104512455181</w:t>
      </w:r>
    </w:p>
    <w:p w14:paraId="6AB10FF3" w14:textId="77777777" w:rsidR="002C6927" w:rsidRPr="002C6927" w:rsidRDefault="002C6927" w:rsidP="002C6927">
      <w:pPr>
        <w:widowControl w:val="0"/>
        <w:autoSpaceDE w:val="0"/>
        <w:autoSpaceDN w:val="0"/>
        <w:adjustRightInd w:val="0"/>
        <w:spacing w:after="0" w:line="360" w:lineRule="auto"/>
        <w:ind w:left="480" w:hanging="480"/>
        <w:rPr>
          <w:rFonts w:ascii="Times New Roman" w:hAnsi="Times New Roman" w:cs="Times New Roman"/>
          <w:noProof/>
          <w:sz w:val="24"/>
        </w:rPr>
      </w:pPr>
      <w:r w:rsidRPr="002C6927">
        <w:rPr>
          <w:rFonts w:ascii="Times New Roman" w:hAnsi="Times New Roman" w:cs="Times New Roman"/>
          <w:noProof/>
          <w:sz w:val="24"/>
          <w:szCs w:val="24"/>
        </w:rPr>
        <w:t xml:space="preserve">Wingo, A. P., Harvey, P. D., &amp; Baldessarini, R. J. (2009). Neurocognitive impairment in bipolar disorder patients: Functional implications. In </w:t>
      </w:r>
      <w:r w:rsidRPr="002C6927">
        <w:rPr>
          <w:rFonts w:ascii="Times New Roman" w:hAnsi="Times New Roman" w:cs="Times New Roman"/>
          <w:i/>
          <w:iCs/>
          <w:noProof/>
          <w:sz w:val="24"/>
          <w:szCs w:val="24"/>
        </w:rPr>
        <w:t>Bipolar Disorders</w:t>
      </w:r>
      <w:r w:rsidRPr="002C6927">
        <w:rPr>
          <w:rFonts w:ascii="Times New Roman" w:hAnsi="Times New Roman" w:cs="Times New Roman"/>
          <w:noProof/>
          <w:sz w:val="24"/>
          <w:szCs w:val="24"/>
        </w:rPr>
        <w:t>. https://doi.org/10.1111/j.1399-5618.2009.00665.x</w:t>
      </w:r>
    </w:p>
    <w:p w14:paraId="591A0D0C" w14:textId="421D41CF" w:rsidR="005108BC" w:rsidRPr="00E3084C" w:rsidRDefault="00B9642F" w:rsidP="005108BC">
      <w:pPr>
        <w:pStyle w:val="Default"/>
        <w:spacing w:line="360" w:lineRule="auto"/>
        <w:ind w:left="360"/>
        <w:jc w:val="both"/>
        <w:rPr>
          <w:rFonts w:ascii="Times New Roman" w:hAnsi="Times New Roman" w:cs="Times New Roman"/>
          <w:bCs/>
        </w:rPr>
      </w:pPr>
      <w:r>
        <w:rPr>
          <w:rFonts w:ascii="Times New Roman" w:hAnsi="Times New Roman" w:cs="Times New Roman"/>
          <w:bCs/>
        </w:rPr>
        <w:fldChar w:fldCharType="end"/>
      </w:r>
    </w:p>
    <w:p w14:paraId="2476CD9E" w14:textId="77777777" w:rsidR="006C165A" w:rsidRPr="00E3084C" w:rsidRDefault="006C165A" w:rsidP="006C165A">
      <w:pPr>
        <w:spacing w:line="360" w:lineRule="auto"/>
        <w:rPr>
          <w:rFonts w:ascii="Times New Roman" w:hAnsi="Times New Roman" w:cs="Times New Roman"/>
          <w:sz w:val="24"/>
          <w:szCs w:val="24"/>
        </w:rPr>
      </w:pPr>
    </w:p>
    <w:p w14:paraId="60AD81C3"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7B580E19"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7C21C360"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3651221A"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61960C65"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54666D6F"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788126FE"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0DC1DF27"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619A9ED4"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03CC05AF"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4502B5CF"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140598A0" w14:textId="77777777" w:rsidR="006C165A" w:rsidRPr="00E3084C" w:rsidRDefault="006C165A" w:rsidP="006C165A">
      <w:pPr>
        <w:autoSpaceDE w:val="0"/>
        <w:autoSpaceDN w:val="0"/>
        <w:adjustRightInd w:val="0"/>
        <w:spacing w:after="0" w:line="360" w:lineRule="auto"/>
        <w:jc w:val="both"/>
        <w:rPr>
          <w:rFonts w:ascii="Times New Roman" w:hAnsi="Times New Roman" w:cs="Times New Roman"/>
          <w:bCs/>
          <w:color w:val="000000"/>
          <w:sz w:val="24"/>
          <w:szCs w:val="24"/>
        </w:rPr>
      </w:pPr>
    </w:p>
    <w:p w14:paraId="35BCDE1C" w14:textId="77777777" w:rsidR="006C165A" w:rsidRPr="00E3084C" w:rsidRDefault="006C165A" w:rsidP="006C165A">
      <w:pPr>
        <w:autoSpaceDE w:val="0"/>
        <w:autoSpaceDN w:val="0"/>
        <w:adjustRightInd w:val="0"/>
        <w:spacing w:after="0" w:line="360" w:lineRule="auto"/>
        <w:ind w:left="360"/>
        <w:jc w:val="both"/>
        <w:rPr>
          <w:rFonts w:ascii="Times New Roman" w:hAnsi="Times New Roman" w:cs="Times New Roman"/>
          <w:bCs/>
          <w:color w:val="000000"/>
          <w:sz w:val="24"/>
          <w:szCs w:val="24"/>
        </w:rPr>
      </w:pPr>
    </w:p>
    <w:p w14:paraId="29A1A38D" w14:textId="77777777" w:rsidR="006C165A" w:rsidRPr="00E3084C" w:rsidRDefault="006C165A" w:rsidP="006C165A">
      <w:pPr>
        <w:autoSpaceDE w:val="0"/>
        <w:autoSpaceDN w:val="0"/>
        <w:adjustRightInd w:val="0"/>
        <w:spacing w:after="0" w:line="360" w:lineRule="auto"/>
        <w:ind w:firstLine="75"/>
        <w:jc w:val="both"/>
        <w:rPr>
          <w:rFonts w:ascii="Times New Roman" w:hAnsi="Times New Roman" w:cs="Times New Roman"/>
          <w:bCs/>
          <w:color w:val="000000"/>
          <w:sz w:val="24"/>
          <w:szCs w:val="24"/>
        </w:rPr>
      </w:pPr>
    </w:p>
    <w:p w14:paraId="390C27B9" w14:textId="77777777" w:rsidR="006C165A" w:rsidRPr="00E3084C" w:rsidRDefault="006C165A" w:rsidP="006C165A">
      <w:pPr>
        <w:spacing w:after="0" w:line="360" w:lineRule="auto"/>
        <w:jc w:val="both"/>
        <w:rPr>
          <w:rFonts w:ascii="Times New Roman" w:hAnsi="Times New Roman" w:cs="Times New Roman"/>
          <w:bCs/>
          <w:color w:val="000000" w:themeColor="text1"/>
          <w:sz w:val="24"/>
          <w:szCs w:val="24"/>
        </w:rPr>
      </w:pPr>
    </w:p>
    <w:p w14:paraId="225CB355" w14:textId="77777777" w:rsidR="006C165A" w:rsidRPr="00E3084C" w:rsidRDefault="006C165A" w:rsidP="006C165A">
      <w:pPr>
        <w:spacing w:after="0" w:line="360" w:lineRule="auto"/>
        <w:jc w:val="both"/>
        <w:rPr>
          <w:rFonts w:ascii="Times New Roman" w:hAnsi="Times New Roman" w:cs="Times New Roman"/>
          <w:bCs/>
          <w:color w:val="000000" w:themeColor="text1"/>
          <w:sz w:val="24"/>
          <w:szCs w:val="24"/>
        </w:rPr>
      </w:pPr>
    </w:p>
    <w:p w14:paraId="369379EF" w14:textId="77777777" w:rsidR="00FA44FC" w:rsidRPr="00E3084C" w:rsidRDefault="00FA44FC">
      <w:pPr>
        <w:rPr>
          <w:rFonts w:ascii="Times New Roman" w:hAnsi="Times New Roman" w:cs="Times New Roman"/>
          <w:sz w:val="24"/>
          <w:szCs w:val="24"/>
        </w:rPr>
      </w:pPr>
    </w:p>
    <w:sectPr w:rsidR="00FA44FC" w:rsidRPr="00E3084C" w:rsidSect="00F47D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topia Std">
    <w:altName w:val="Utopia Std"/>
    <w:panose1 w:val="020B06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Jokerman">
    <w:panose1 w:val="040906050600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159B5"/>
    <w:multiLevelType w:val="hybridMultilevel"/>
    <w:tmpl w:val="E38C07F4"/>
    <w:lvl w:ilvl="0" w:tplc="9CECA8B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EA676B"/>
    <w:multiLevelType w:val="hybridMultilevel"/>
    <w:tmpl w:val="CED20700"/>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AB1281"/>
    <w:multiLevelType w:val="hybridMultilevel"/>
    <w:tmpl w:val="C7E647B4"/>
    <w:lvl w:ilvl="0" w:tplc="D70A5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D008CC"/>
    <w:multiLevelType w:val="hybridMultilevel"/>
    <w:tmpl w:val="4128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A68D1"/>
    <w:multiLevelType w:val="hybridMultilevel"/>
    <w:tmpl w:val="5C78BAF6"/>
    <w:lvl w:ilvl="0" w:tplc="DFEC07B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A27001"/>
    <w:multiLevelType w:val="hybridMultilevel"/>
    <w:tmpl w:val="3918DFC2"/>
    <w:lvl w:ilvl="0" w:tplc="AE4C43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95914"/>
    <w:multiLevelType w:val="hybridMultilevel"/>
    <w:tmpl w:val="1794E9E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1656085D"/>
    <w:multiLevelType w:val="multilevel"/>
    <w:tmpl w:val="C3762082"/>
    <w:lvl w:ilvl="0">
      <w:start w:val="2"/>
      <w:numFmt w:val="decimal"/>
      <w:lvlText w:val="%1."/>
      <w:lvlJc w:val="left"/>
      <w:pPr>
        <w:ind w:left="720" w:hanging="360"/>
      </w:pPr>
      <w:rPr>
        <w:rFonts w:hint="default"/>
        <w:sz w:val="28"/>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4A1CF2"/>
    <w:multiLevelType w:val="hybridMultilevel"/>
    <w:tmpl w:val="69E63B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28323E"/>
    <w:multiLevelType w:val="hybridMultilevel"/>
    <w:tmpl w:val="7C6C97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4E22E92"/>
    <w:multiLevelType w:val="hybridMultilevel"/>
    <w:tmpl w:val="A52E4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A20FC"/>
    <w:multiLevelType w:val="hybridMultilevel"/>
    <w:tmpl w:val="5CA0B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4009000F">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B20F9"/>
    <w:multiLevelType w:val="hybridMultilevel"/>
    <w:tmpl w:val="31642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6547B"/>
    <w:multiLevelType w:val="hybridMultilevel"/>
    <w:tmpl w:val="724C2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7E011E"/>
    <w:multiLevelType w:val="hybridMultilevel"/>
    <w:tmpl w:val="DE3068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839CF"/>
    <w:multiLevelType w:val="hybridMultilevel"/>
    <w:tmpl w:val="3DC03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EF61BE"/>
    <w:multiLevelType w:val="hybridMultilevel"/>
    <w:tmpl w:val="CC5C6C2E"/>
    <w:lvl w:ilvl="0" w:tplc="C56676E6">
      <w:start w:val="11"/>
      <w:numFmt w:val="decimal"/>
      <w:lvlText w:val="%1."/>
      <w:lvlJc w:val="left"/>
      <w:pPr>
        <w:ind w:left="1095" w:hanging="375"/>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5E026F"/>
    <w:multiLevelType w:val="hybridMultilevel"/>
    <w:tmpl w:val="067ABD1C"/>
    <w:lvl w:ilvl="0" w:tplc="D27EAC82">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8C732D"/>
    <w:multiLevelType w:val="hybridMultilevel"/>
    <w:tmpl w:val="86DE74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00459B"/>
    <w:multiLevelType w:val="hybridMultilevel"/>
    <w:tmpl w:val="05AA8376"/>
    <w:lvl w:ilvl="0" w:tplc="4009000F">
      <w:start w:val="1"/>
      <w:numFmt w:val="decimal"/>
      <w:lvlText w:val="%1."/>
      <w:lvlJc w:val="left"/>
      <w:pPr>
        <w:ind w:left="360" w:hanging="360"/>
      </w:pPr>
      <w:rPr>
        <w:rFonts w:hint="default"/>
      </w:rPr>
    </w:lvl>
    <w:lvl w:ilvl="1" w:tplc="B6D6BE9C">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611EBF"/>
    <w:multiLevelType w:val="hybridMultilevel"/>
    <w:tmpl w:val="B8E0F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C64CC7"/>
    <w:multiLevelType w:val="hybridMultilevel"/>
    <w:tmpl w:val="64BCEE14"/>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467629A"/>
    <w:multiLevelType w:val="hybridMultilevel"/>
    <w:tmpl w:val="15607600"/>
    <w:lvl w:ilvl="0" w:tplc="C3505668">
      <w:start w:val="10"/>
      <w:numFmt w:val="decimal"/>
      <w:lvlText w:val="%1."/>
      <w:lvlJc w:val="left"/>
      <w:pPr>
        <w:ind w:left="717" w:hanging="375"/>
      </w:pPr>
      <w:rPr>
        <w:rFonts w:hint="default"/>
        <w:color w:val="auto"/>
        <w:sz w:val="28"/>
      </w:rPr>
    </w:lvl>
    <w:lvl w:ilvl="1" w:tplc="80EC7ADA">
      <w:start w:val="1"/>
      <w:numFmt w:val="upperLetter"/>
      <w:lvlText w:val="%2."/>
      <w:lvlJc w:val="left"/>
      <w:pPr>
        <w:ind w:left="2097" w:hanging="1035"/>
      </w:pPr>
      <w:rPr>
        <w:rFonts w:hint="default"/>
      </w:r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453C47B5"/>
    <w:multiLevelType w:val="hybridMultilevel"/>
    <w:tmpl w:val="52FC06B2"/>
    <w:lvl w:ilvl="0" w:tplc="7954126E">
      <w:start w:val="3"/>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8106CB"/>
    <w:multiLevelType w:val="hybridMultilevel"/>
    <w:tmpl w:val="549C52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F4F5E"/>
    <w:multiLevelType w:val="hybridMultilevel"/>
    <w:tmpl w:val="40E2B27A"/>
    <w:lvl w:ilvl="0" w:tplc="D6344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707E4F"/>
    <w:multiLevelType w:val="hybridMultilevel"/>
    <w:tmpl w:val="F5A0A8C0"/>
    <w:lvl w:ilvl="0" w:tplc="83B2EA1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7" w15:restartNumberingAfterBreak="0">
    <w:nsid w:val="4CB742C3"/>
    <w:multiLevelType w:val="hybridMultilevel"/>
    <w:tmpl w:val="C7905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031CE"/>
    <w:multiLevelType w:val="hybridMultilevel"/>
    <w:tmpl w:val="BCB03DA4"/>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86D1255"/>
    <w:multiLevelType w:val="hybridMultilevel"/>
    <w:tmpl w:val="915C0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AD3538"/>
    <w:multiLevelType w:val="hybridMultilevel"/>
    <w:tmpl w:val="7F6CF24C"/>
    <w:lvl w:ilvl="0" w:tplc="F17A55C4">
      <w:start w:val="1"/>
      <w:numFmt w:val="decimal"/>
      <w:lvlText w:val="%1."/>
      <w:lvlJc w:val="left"/>
      <w:pPr>
        <w:ind w:left="1080" w:hanging="360"/>
      </w:pPr>
      <w:rPr>
        <w:b w:val="0"/>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DB3638F"/>
    <w:multiLevelType w:val="hybridMultilevel"/>
    <w:tmpl w:val="3A6252F8"/>
    <w:lvl w:ilvl="0" w:tplc="0409000F">
      <w:start w:val="1"/>
      <w:numFmt w:val="decimal"/>
      <w:lvlText w:val="%1."/>
      <w:lvlJc w:val="left"/>
      <w:pPr>
        <w:ind w:left="1440" w:hanging="360"/>
      </w:pPr>
    </w:lvl>
    <w:lvl w:ilvl="1" w:tplc="04090015">
      <w:start w:val="1"/>
      <w:numFmt w:val="upperLetter"/>
      <w:lvlText w:val="%2."/>
      <w:lvlJc w:val="left"/>
      <w:pPr>
        <w:ind w:left="2160" w:hanging="360"/>
      </w:pPr>
    </w:lvl>
    <w:lvl w:ilvl="2" w:tplc="4FC0C71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DDF7258"/>
    <w:multiLevelType w:val="hybridMultilevel"/>
    <w:tmpl w:val="DAA22CC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01E1F26"/>
    <w:multiLevelType w:val="hybridMultilevel"/>
    <w:tmpl w:val="020838C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B11F1F"/>
    <w:multiLevelType w:val="hybridMultilevel"/>
    <w:tmpl w:val="26784620"/>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5" w15:restartNumberingAfterBreak="0">
    <w:nsid w:val="62C6081D"/>
    <w:multiLevelType w:val="hybridMultilevel"/>
    <w:tmpl w:val="05644C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4B2542"/>
    <w:multiLevelType w:val="hybridMultilevel"/>
    <w:tmpl w:val="30AEC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DB92C5C"/>
    <w:multiLevelType w:val="hybridMultilevel"/>
    <w:tmpl w:val="092E73B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2A0D8F"/>
    <w:multiLevelType w:val="hybridMultilevel"/>
    <w:tmpl w:val="667887B6"/>
    <w:lvl w:ilvl="0" w:tplc="DC621C48">
      <w:start w:val="1"/>
      <w:numFmt w:val="decimal"/>
      <w:lvlText w:val="%1."/>
      <w:lvlJc w:val="left"/>
      <w:pPr>
        <w:ind w:left="1890" w:hanging="117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5E11709"/>
    <w:multiLevelType w:val="hybridMultilevel"/>
    <w:tmpl w:val="CAE2FB3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0" w15:restartNumberingAfterBreak="0">
    <w:nsid w:val="78AF3301"/>
    <w:multiLevelType w:val="hybridMultilevel"/>
    <w:tmpl w:val="66D8C600"/>
    <w:lvl w:ilvl="0" w:tplc="750E0BDE">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7"/>
  </w:num>
  <w:num w:numId="3">
    <w:abstractNumId w:val="15"/>
  </w:num>
  <w:num w:numId="4">
    <w:abstractNumId w:val="6"/>
  </w:num>
  <w:num w:numId="5">
    <w:abstractNumId w:val="39"/>
  </w:num>
  <w:num w:numId="6">
    <w:abstractNumId w:val="30"/>
  </w:num>
  <w:num w:numId="7">
    <w:abstractNumId w:val="34"/>
  </w:num>
  <w:num w:numId="8">
    <w:abstractNumId w:val="33"/>
  </w:num>
  <w:num w:numId="9">
    <w:abstractNumId w:val="19"/>
  </w:num>
  <w:num w:numId="10">
    <w:abstractNumId w:val="29"/>
  </w:num>
  <w:num w:numId="11">
    <w:abstractNumId w:val="18"/>
  </w:num>
  <w:num w:numId="12">
    <w:abstractNumId w:val="40"/>
  </w:num>
  <w:num w:numId="13">
    <w:abstractNumId w:val="4"/>
  </w:num>
  <w:num w:numId="14">
    <w:abstractNumId w:val="38"/>
  </w:num>
  <w:num w:numId="15">
    <w:abstractNumId w:val="5"/>
  </w:num>
  <w:num w:numId="16">
    <w:abstractNumId w:val="25"/>
  </w:num>
  <w:num w:numId="17">
    <w:abstractNumId w:val="2"/>
  </w:num>
  <w:num w:numId="18">
    <w:abstractNumId w:val="20"/>
  </w:num>
  <w:num w:numId="19">
    <w:abstractNumId w:val="27"/>
  </w:num>
  <w:num w:numId="20">
    <w:abstractNumId w:val="16"/>
  </w:num>
  <w:num w:numId="21">
    <w:abstractNumId w:val="0"/>
  </w:num>
  <w:num w:numId="22">
    <w:abstractNumId w:val="22"/>
  </w:num>
  <w:num w:numId="23">
    <w:abstractNumId w:val="37"/>
  </w:num>
  <w:num w:numId="24">
    <w:abstractNumId w:val="31"/>
  </w:num>
  <w:num w:numId="25">
    <w:abstractNumId w:val="10"/>
  </w:num>
  <w:num w:numId="26">
    <w:abstractNumId w:val="11"/>
  </w:num>
  <w:num w:numId="27">
    <w:abstractNumId w:val="8"/>
  </w:num>
  <w:num w:numId="28">
    <w:abstractNumId w:val="28"/>
  </w:num>
  <w:num w:numId="29">
    <w:abstractNumId w:val="17"/>
  </w:num>
  <w:num w:numId="30">
    <w:abstractNumId w:val="32"/>
  </w:num>
  <w:num w:numId="31">
    <w:abstractNumId w:val="21"/>
  </w:num>
  <w:num w:numId="32">
    <w:abstractNumId w:val="3"/>
  </w:num>
  <w:num w:numId="33">
    <w:abstractNumId w:val="12"/>
  </w:num>
  <w:num w:numId="34">
    <w:abstractNumId w:val="9"/>
  </w:num>
  <w:num w:numId="35">
    <w:abstractNumId w:val="23"/>
  </w:num>
  <w:num w:numId="36">
    <w:abstractNumId w:val="1"/>
  </w:num>
  <w:num w:numId="37">
    <w:abstractNumId w:val="35"/>
  </w:num>
  <w:num w:numId="38">
    <w:abstractNumId w:val="14"/>
  </w:num>
  <w:num w:numId="39">
    <w:abstractNumId w:val="24"/>
  </w:num>
  <w:num w:numId="40">
    <w:abstractNumId w:val="13"/>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5A"/>
    <w:rsid w:val="00000E8F"/>
    <w:rsid w:val="00002D5E"/>
    <w:rsid w:val="0000371F"/>
    <w:rsid w:val="00004D22"/>
    <w:rsid w:val="00012E36"/>
    <w:rsid w:val="00014E21"/>
    <w:rsid w:val="000267E3"/>
    <w:rsid w:val="00044DDF"/>
    <w:rsid w:val="00054D2B"/>
    <w:rsid w:val="00064AC4"/>
    <w:rsid w:val="00066015"/>
    <w:rsid w:val="00076B91"/>
    <w:rsid w:val="000779A4"/>
    <w:rsid w:val="00086DDC"/>
    <w:rsid w:val="00086FF0"/>
    <w:rsid w:val="000878C7"/>
    <w:rsid w:val="00092813"/>
    <w:rsid w:val="00093FA9"/>
    <w:rsid w:val="00094366"/>
    <w:rsid w:val="000A27E1"/>
    <w:rsid w:val="000B4791"/>
    <w:rsid w:val="000D3A5A"/>
    <w:rsid w:val="000E12FC"/>
    <w:rsid w:val="000E2017"/>
    <w:rsid w:val="000F28F4"/>
    <w:rsid w:val="000F4468"/>
    <w:rsid w:val="000F6E84"/>
    <w:rsid w:val="0010676E"/>
    <w:rsid w:val="00112BAF"/>
    <w:rsid w:val="00123D71"/>
    <w:rsid w:val="00124B0D"/>
    <w:rsid w:val="00133761"/>
    <w:rsid w:val="00152AB9"/>
    <w:rsid w:val="00155354"/>
    <w:rsid w:val="00160260"/>
    <w:rsid w:val="00173AFF"/>
    <w:rsid w:val="0018225C"/>
    <w:rsid w:val="00190D1B"/>
    <w:rsid w:val="001949A6"/>
    <w:rsid w:val="0019644C"/>
    <w:rsid w:val="001A7325"/>
    <w:rsid w:val="001B5381"/>
    <w:rsid w:val="001B7A1E"/>
    <w:rsid w:val="001C0C42"/>
    <w:rsid w:val="001C1ED8"/>
    <w:rsid w:val="001C324D"/>
    <w:rsid w:val="001C363F"/>
    <w:rsid w:val="001D6129"/>
    <w:rsid w:val="001D75BD"/>
    <w:rsid w:val="001F204F"/>
    <w:rsid w:val="002035F8"/>
    <w:rsid w:val="00215BE7"/>
    <w:rsid w:val="00242A4D"/>
    <w:rsid w:val="00245285"/>
    <w:rsid w:val="00253DB2"/>
    <w:rsid w:val="00256BEE"/>
    <w:rsid w:val="00266859"/>
    <w:rsid w:val="0028025B"/>
    <w:rsid w:val="002942DA"/>
    <w:rsid w:val="00297434"/>
    <w:rsid w:val="002978B2"/>
    <w:rsid w:val="002A09C3"/>
    <w:rsid w:val="002B29E1"/>
    <w:rsid w:val="002B7840"/>
    <w:rsid w:val="002C6927"/>
    <w:rsid w:val="002C6FFD"/>
    <w:rsid w:val="002D18AD"/>
    <w:rsid w:val="002D4A14"/>
    <w:rsid w:val="002D7096"/>
    <w:rsid w:val="002F2AF4"/>
    <w:rsid w:val="002F4B84"/>
    <w:rsid w:val="003010C2"/>
    <w:rsid w:val="0031024D"/>
    <w:rsid w:val="00311B8D"/>
    <w:rsid w:val="00313790"/>
    <w:rsid w:val="00314669"/>
    <w:rsid w:val="00320A0C"/>
    <w:rsid w:val="0032526E"/>
    <w:rsid w:val="00326D15"/>
    <w:rsid w:val="003405AD"/>
    <w:rsid w:val="003415AA"/>
    <w:rsid w:val="00342B61"/>
    <w:rsid w:val="00342C37"/>
    <w:rsid w:val="00354D73"/>
    <w:rsid w:val="00367C25"/>
    <w:rsid w:val="00372A51"/>
    <w:rsid w:val="00372DCF"/>
    <w:rsid w:val="003758D4"/>
    <w:rsid w:val="00381553"/>
    <w:rsid w:val="003820C3"/>
    <w:rsid w:val="003875E2"/>
    <w:rsid w:val="0039260B"/>
    <w:rsid w:val="003948F7"/>
    <w:rsid w:val="003A2F5E"/>
    <w:rsid w:val="003A4737"/>
    <w:rsid w:val="003A6AB7"/>
    <w:rsid w:val="003B3746"/>
    <w:rsid w:val="003C10FE"/>
    <w:rsid w:val="003C24EE"/>
    <w:rsid w:val="003C765D"/>
    <w:rsid w:val="003F412A"/>
    <w:rsid w:val="00414B02"/>
    <w:rsid w:val="004158C6"/>
    <w:rsid w:val="00415E75"/>
    <w:rsid w:val="0042257E"/>
    <w:rsid w:val="004238C8"/>
    <w:rsid w:val="00436AE4"/>
    <w:rsid w:val="00446CAE"/>
    <w:rsid w:val="00451579"/>
    <w:rsid w:val="004517DC"/>
    <w:rsid w:val="00454777"/>
    <w:rsid w:val="00455EB2"/>
    <w:rsid w:val="00460F37"/>
    <w:rsid w:val="00465643"/>
    <w:rsid w:val="00471F00"/>
    <w:rsid w:val="00482AB4"/>
    <w:rsid w:val="00495A50"/>
    <w:rsid w:val="004B2CC7"/>
    <w:rsid w:val="004B54F5"/>
    <w:rsid w:val="004B5AE0"/>
    <w:rsid w:val="004B5FBE"/>
    <w:rsid w:val="004C0F77"/>
    <w:rsid w:val="004C272D"/>
    <w:rsid w:val="004C506A"/>
    <w:rsid w:val="004D754C"/>
    <w:rsid w:val="004F1DB9"/>
    <w:rsid w:val="004F20F3"/>
    <w:rsid w:val="00500963"/>
    <w:rsid w:val="0050284B"/>
    <w:rsid w:val="00503148"/>
    <w:rsid w:val="005108BC"/>
    <w:rsid w:val="0054080B"/>
    <w:rsid w:val="0054236C"/>
    <w:rsid w:val="00545B0A"/>
    <w:rsid w:val="00546250"/>
    <w:rsid w:val="00546349"/>
    <w:rsid w:val="005501A3"/>
    <w:rsid w:val="00557C8A"/>
    <w:rsid w:val="005641CA"/>
    <w:rsid w:val="00565734"/>
    <w:rsid w:val="00565F77"/>
    <w:rsid w:val="005708AE"/>
    <w:rsid w:val="0057145D"/>
    <w:rsid w:val="0057255B"/>
    <w:rsid w:val="00577F8A"/>
    <w:rsid w:val="00583E28"/>
    <w:rsid w:val="00585BB3"/>
    <w:rsid w:val="00587AE8"/>
    <w:rsid w:val="0059173D"/>
    <w:rsid w:val="00591E71"/>
    <w:rsid w:val="005926BC"/>
    <w:rsid w:val="005967B2"/>
    <w:rsid w:val="005A1526"/>
    <w:rsid w:val="005A19BD"/>
    <w:rsid w:val="005A48F4"/>
    <w:rsid w:val="005B2596"/>
    <w:rsid w:val="005B5F5E"/>
    <w:rsid w:val="005C0B78"/>
    <w:rsid w:val="005D4649"/>
    <w:rsid w:val="005D4FCC"/>
    <w:rsid w:val="005E1A5E"/>
    <w:rsid w:val="005E2640"/>
    <w:rsid w:val="005E36F7"/>
    <w:rsid w:val="00606D28"/>
    <w:rsid w:val="006131B7"/>
    <w:rsid w:val="00626F3E"/>
    <w:rsid w:val="00644369"/>
    <w:rsid w:val="00652288"/>
    <w:rsid w:val="006538B6"/>
    <w:rsid w:val="00657BB5"/>
    <w:rsid w:val="0066120F"/>
    <w:rsid w:val="00670680"/>
    <w:rsid w:val="006711F0"/>
    <w:rsid w:val="006725B6"/>
    <w:rsid w:val="006740E5"/>
    <w:rsid w:val="00675137"/>
    <w:rsid w:val="00680425"/>
    <w:rsid w:val="006822C9"/>
    <w:rsid w:val="00682909"/>
    <w:rsid w:val="0068330E"/>
    <w:rsid w:val="0068608F"/>
    <w:rsid w:val="00686EC9"/>
    <w:rsid w:val="00692A3D"/>
    <w:rsid w:val="006A6359"/>
    <w:rsid w:val="006A6892"/>
    <w:rsid w:val="006A7796"/>
    <w:rsid w:val="006A7CBA"/>
    <w:rsid w:val="006B2926"/>
    <w:rsid w:val="006B3EE3"/>
    <w:rsid w:val="006B76B3"/>
    <w:rsid w:val="006C165A"/>
    <w:rsid w:val="006C265B"/>
    <w:rsid w:val="006C293A"/>
    <w:rsid w:val="006D1E9F"/>
    <w:rsid w:val="006D1FEF"/>
    <w:rsid w:val="006D29FF"/>
    <w:rsid w:val="006E2751"/>
    <w:rsid w:val="006E2D25"/>
    <w:rsid w:val="006E34D3"/>
    <w:rsid w:val="006E4C95"/>
    <w:rsid w:val="006F01D7"/>
    <w:rsid w:val="0070685A"/>
    <w:rsid w:val="0071596E"/>
    <w:rsid w:val="00717E75"/>
    <w:rsid w:val="0073183A"/>
    <w:rsid w:val="00732C32"/>
    <w:rsid w:val="00735B55"/>
    <w:rsid w:val="007430CD"/>
    <w:rsid w:val="007537D2"/>
    <w:rsid w:val="0076081B"/>
    <w:rsid w:val="00767311"/>
    <w:rsid w:val="00767C56"/>
    <w:rsid w:val="00767C6D"/>
    <w:rsid w:val="00770735"/>
    <w:rsid w:val="00777550"/>
    <w:rsid w:val="00777DE8"/>
    <w:rsid w:val="00780A0B"/>
    <w:rsid w:val="00781E2F"/>
    <w:rsid w:val="0078496D"/>
    <w:rsid w:val="00792E9A"/>
    <w:rsid w:val="007A06DF"/>
    <w:rsid w:val="007A2A2D"/>
    <w:rsid w:val="007B0583"/>
    <w:rsid w:val="007B0E22"/>
    <w:rsid w:val="007B536C"/>
    <w:rsid w:val="007B5D67"/>
    <w:rsid w:val="007B7284"/>
    <w:rsid w:val="007B797C"/>
    <w:rsid w:val="007C114F"/>
    <w:rsid w:val="007C48CD"/>
    <w:rsid w:val="007C511F"/>
    <w:rsid w:val="007C563A"/>
    <w:rsid w:val="007D07AC"/>
    <w:rsid w:val="007D5E1A"/>
    <w:rsid w:val="007E0461"/>
    <w:rsid w:val="007F22D9"/>
    <w:rsid w:val="007F7D7A"/>
    <w:rsid w:val="008115C2"/>
    <w:rsid w:val="008132EC"/>
    <w:rsid w:val="00817C6E"/>
    <w:rsid w:val="00821BAB"/>
    <w:rsid w:val="008272F1"/>
    <w:rsid w:val="00835E1D"/>
    <w:rsid w:val="0084389D"/>
    <w:rsid w:val="00843B23"/>
    <w:rsid w:val="0084766C"/>
    <w:rsid w:val="00850B43"/>
    <w:rsid w:val="00853961"/>
    <w:rsid w:val="00866BE9"/>
    <w:rsid w:val="0086766E"/>
    <w:rsid w:val="008802C8"/>
    <w:rsid w:val="00881126"/>
    <w:rsid w:val="008815A3"/>
    <w:rsid w:val="0088741B"/>
    <w:rsid w:val="00887825"/>
    <w:rsid w:val="00895D45"/>
    <w:rsid w:val="00896C4A"/>
    <w:rsid w:val="008A3122"/>
    <w:rsid w:val="008A6F5F"/>
    <w:rsid w:val="008D0330"/>
    <w:rsid w:val="008D0BC0"/>
    <w:rsid w:val="008E04F1"/>
    <w:rsid w:val="008E13C9"/>
    <w:rsid w:val="008E3279"/>
    <w:rsid w:val="008E4908"/>
    <w:rsid w:val="008E53E1"/>
    <w:rsid w:val="008E7067"/>
    <w:rsid w:val="008F1E44"/>
    <w:rsid w:val="008F22FB"/>
    <w:rsid w:val="008F3B80"/>
    <w:rsid w:val="00900749"/>
    <w:rsid w:val="009027AE"/>
    <w:rsid w:val="00905E72"/>
    <w:rsid w:val="0091083A"/>
    <w:rsid w:val="00913452"/>
    <w:rsid w:val="0092300D"/>
    <w:rsid w:val="00923BBE"/>
    <w:rsid w:val="0092401F"/>
    <w:rsid w:val="00924666"/>
    <w:rsid w:val="00925E59"/>
    <w:rsid w:val="00927D5E"/>
    <w:rsid w:val="00932992"/>
    <w:rsid w:val="0093333F"/>
    <w:rsid w:val="0093514A"/>
    <w:rsid w:val="00935E90"/>
    <w:rsid w:val="00936DBF"/>
    <w:rsid w:val="00937118"/>
    <w:rsid w:val="00940813"/>
    <w:rsid w:val="00943D7B"/>
    <w:rsid w:val="00944926"/>
    <w:rsid w:val="00956EFC"/>
    <w:rsid w:val="009638E3"/>
    <w:rsid w:val="00964812"/>
    <w:rsid w:val="009661A9"/>
    <w:rsid w:val="0097604E"/>
    <w:rsid w:val="00977B9D"/>
    <w:rsid w:val="009C022F"/>
    <w:rsid w:val="009C414A"/>
    <w:rsid w:val="009D0D35"/>
    <w:rsid w:val="009D5275"/>
    <w:rsid w:val="009E66C0"/>
    <w:rsid w:val="009F34B5"/>
    <w:rsid w:val="00A03B18"/>
    <w:rsid w:val="00A1026B"/>
    <w:rsid w:val="00A10C71"/>
    <w:rsid w:val="00A12201"/>
    <w:rsid w:val="00A14B7B"/>
    <w:rsid w:val="00A15668"/>
    <w:rsid w:val="00A16B9C"/>
    <w:rsid w:val="00A21564"/>
    <w:rsid w:val="00A34545"/>
    <w:rsid w:val="00A34D0C"/>
    <w:rsid w:val="00A3790D"/>
    <w:rsid w:val="00A42D30"/>
    <w:rsid w:val="00A431E1"/>
    <w:rsid w:val="00A43BB8"/>
    <w:rsid w:val="00A452FF"/>
    <w:rsid w:val="00A543CF"/>
    <w:rsid w:val="00A668D8"/>
    <w:rsid w:val="00A67E51"/>
    <w:rsid w:val="00A70FD8"/>
    <w:rsid w:val="00A720AD"/>
    <w:rsid w:val="00A82D19"/>
    <w:rsid w:val="00A83A05"/>
    <w:rsid w:val="00A85CFD"/>
    <w:rsid w:val="00A92102"/>
    <w:rsid w:val="00A93251"/>
    <w:rsid w:val="00A956B1"/>
    <w:rsid w:val="00AA0370"/>
    <w:rsid w:val="00AA5BFB"/>
    <w:rsid w:val="00AA7E13"/>
    <w:rsid w:val="00AB0FEE"/>
    <w:rsid w:val="00AB4692"/>
    <w:rsid w:val="00AC20E6"/>
    <w:rsid w:val="00AC2EA7"/>
    <w:rsid w:val="00AD01BE"/>
    <w:rsid w:val="00AD3120"/>
    <w:rsid w:val="00AD46BD"/>
    <w:rsid w:val="00AD6E93"/>
    <w:rsid w:val="00AF5FEF"/>
    <w:rsid w:val="00B048BB"/>
    <w:rsid w:val="00B0653B"/>
    <w:rsid w:val="00B13409"/>
    <w:rsid w:val="00B20721"/>
    <w:rsid w:val="00B279F7"/>
    <w:rsid w:val="00B32B78"/>
    <w:rsid w:val="00B3583E"/>
    <w:rsid w:val="00B363E6"/>
    <w:rsid w:val="00B3730F"/>
    <w:rsid w:val="00B43A64"/>
    <w:rsid w:val="00B452A1"/>
    <w:rsid w:val="00B51D3A"/>
    <w:rsid w:val="00B52548"/>
    <w:rsid w:val="00B55697"/>
    <w:rsid w:val="00B76B74"/>
    <w:rsid w:val="00B8261A"/>
    <w:rsid w:val="00B926F3"/>
    <w:rsid w:val="00B94C22"/>
    <w:rsid w:val="00B9642F"/>
    <w:rsid w:val="00B97786"/>
    <w:rsid w:val="00BA098F"/>
    <w:rsid w:val="00BA2DCE"/>
    <w:rsid w:val="00BA326F"/>
    <w:rsid w:val="00BA47A4"/>
    <w:rsid w:val="00BA543F"/>
    <w:rsid w:val="00BA7F13"/>
    <w:rsid w:val="00BD02C7"/>
    <w:rsid w:val="00BD0D00"/>
    <w:rsid w:val="00BE23A0"/>
    <w:rsid w:val="00BF1B9A"/>
    <w:rsid w:val="00BF5FFD"/>
    <w:rsid w:val="00BF6AC4"/>
    <w:rsid w:val="00C00F36"/>
    <w:rsid w:val="00C06F82"/>
    <w:rsid w:val="00C12CC9"/>
    <w:rsid w:val="00C1314A"/>
    <w:rsid w:val="00C14009"/>
    <w:rsid w:val="00C17CBF"/>
    <w:rsid w:val="00C36518"/>
    <w:rsid w:val="00C3667D"/>
    <w:rsid w:val="00C46BD9"/>
    <w:rsid w:val="00C525A5"/>
    <w:rsid w:val="00C538F2"/>
    <w:rsid w:val="00C61C93"/>
    <w:rsid w:val="00C67AF9"/>
    <w:rsid w:val="00C7137D"/>
    <w:rsid w:val="00C74A7B"/>
    <w:rsid w:val="00C80FC4"/>
    <w:rsid w:val="00C873E4"/>
    <w:rsid w:val="00C91B6A"/>
    <w:rsid w:val="00C92F6F"/>
    <w:rsid w:val="00CB6425"/>
    <w:rsid w:val="00CC0A52"/>
    <w:rsid w:val="00CE008A"/>
    <w:rsid w:val="00CE2C9E"/>
    <w:rsid w:val="00D03DC3"/>
    <w:rsid w:val="00D058AA"/>
    <w:rsid w:val="00D10341"/>
    <w:rsid w:val="00D10C58"/>
    <w:rsid w:val="00D13EFF"/>
    <w:rsid w:val="00D14762"/>
    <w:rsid w:val="00D22717"/>
    <w:rsid w:val="00D24476"/>
    <w:rsid w:val="00D26547"/>
    <w:rsid w:val="00D35A44"/>
    <w:rsid w:val="00D36D81"/>
    <w:rsid w:val="00D420F6"/>
    <w:rsid w:val="00D45561"/>
    <w:rsid w:val="00D47238"/>
    <w:rsid w:val="00D5257B"/>
    <w:rsid w:val="00D5445D"/>
    <w:rsid w:val="00D551A2"/>
    <w:rsid w:val="00D57810"/>
    <w:rsid w:val="00D57D7F"/>
    <w:rsid w:val="00D72D55"/>
    <w:rsid w:val="00D77879"/>
    <w:rsid w:val="00D82668"/>
    <w:rsid w:val="00D90056"/>
    <w:rsid w:val="00D94261"/>
    <w:rsid w:val="00DA558D"/>
    <w:rsid w:val="00DB1437"/>
    <w:rsid w:val="00DB2E1F"/>
    <w:rsid w:val="00DC38F2"/>
    <w:rsid w:val="00DD4112"/>
    <w:rsid w:val="00DF2DBC"/>
    <w:rsid w:val="00DF4647"/>
    <w:rsid w:val="00DF5A50"/>
    <w:rsid w:val="00DF69F1"/>
    <w:rsid w:val="00E22F3D"/>
    <w:rsid w:val="00E3084C"/>
    <w:rsid w:val="00E35D09"/>
    <w:rsid w:val="00E420BF"/>
    <w:rsid w:val="00E518FF"/>
    <w:rsid w:val="00E5245E"/>
    <w:rsid w:val="00E52D63"/>
    <w:rsid w:val="00E53F86"/>
    <w:rsid w:val="00E57D7E"/>
    <w:rsid w:val="00E62120"/>
    <w:rsid w:val="00E733EA"/>
    <w:rsid w:val="00E749A8"/>
    <w:rsid w:val="00E7502B"/>
    <w:rsid w:val="00E76409"/>
    <w:rsid w:val="00E821A1"/>
    <w:rsid w:val="00E868E7"/>
    <w:rsid w:val="00E96569"/>
    <w:rsid w:val="00EA3C7F"/>
    <w:rsid w:val="00EB1969"/>
    <w:rsid w:val="00EB1E12"/>
    <w:rsid w:val="00EC73F0"/>
    <w:rsid w:val="00ED0924"/>
    <w:rsid w:val="00ED648C"/>
    <w:rsid w:val="00ED66B1"/>
    <w:rsid w:val="00ED7B35"/>
    <w:rsid w:val="00EF027E"/>
    <w:rsid w:val="00EF2B64"/>
    <w:rsid w:val="00F0380C"/>
    <w:rsid w:val="00F1194A"/>
    <w:rsid w:val="00F12D72"/>
    <w:rsid w:val="00F16997"/>
    <w:rsid w:val="00F205F9"/>
    <w:rsid w:val="00F2191C"/>
    <w:rsid w:val="00F22632"/>
    <w:rsid w:val="00F264A6"/>
    <w:rsid w:val="00F303C7"/>
    <w:rsid w:val="00F30AEB"/>
    <w:rsid w:val="00F33CBA"/>
    <w:rsid w:val="00F445ED"/>
    <w:rsid w:val="00F471B2"/>
    <w:rsid w:val="00F4753D"/>
    <w:rsid w:val="00F47D17"/>
    <w:rsid w:val="00F57ECB"/>
    <w:rsid w:val="00F6082B"/>
    <w:rsid w:val="00F60CD8"/>
    <w:rsid w:val="00F708ED"/>
    <w:rsid w:val="00F738B2"/>
    <w:rsid w:val="00F86382"/>
    <w:rsid w:val="00F911FF"/>
    <w:rsid w:val="00F92626"/>
    <w:rsid w:val="00F97C0E"/>
    <w:rsid w:val="00FA1E02"/>
    <w:rsid w:val="00FA4456"/>
    <w:rsid w:val="00FA44FC"/>
    <w:rsid w:val="00FB2DBD"/>
    <w:rsid w:val="00FB300A"/>
    <w:rsid w:val="00FB3C09"/>
    <w:rsid w:val="00FB3C98"/>
    <w:rsid w:val="00FC6C27"/>
    <w:rsid w:val="00FD0DE8"/>
    <w:rsid w:val="00FD2E4B"/>
    <w:rsid w:val="00FD73A5"/>
    <w:rsid w:val="00FD7A1F"/>
    <w:rsid w:val="00FE01D8"/>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A3656"/>
  <w15:docId w15:val="{F6CF1901-771D-FA45-BB54-C82D2B23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4C"/>
  </w:style>
  <w:style w:type="paragraph" w:styleId="Heading1">
    <w:name w:val="heading 1"/>
    <w:basedOn w:val="Normal"/>
    <w:link w:val="Heading1Char"/>
    <w:uiPriority w:val="9"/>
    <w:qFormat/>
    <w:rsid w:val="006C16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qFormat/>
    <w:rsid w:val="006C165A"/>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6C165A"/>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6C165A"/>
    <w:pPr>
      <w:keepNext/>
      <w:keepLines/>
      <w:spacing w:before="40" w:after="0" w:line="259" w:lineRule="auto"/>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65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C165A"/>
    <w:rPr>
      <w:rFonts w:ascii="Arial" w:eastAsia="Times New Roman" w:hAnsi="Arial" w:cs="Arial"/>
      <w:b/>
      <w:bCs/>
      <w:i/>
      <w:iCs/>
      <w:sz w:val="28"/>
      <w:szCs w:val="28"/>
    </w:rPr>
  </w:style>
  <w:style w:type="character" w:customStyle="1" w:styleId="Heading3Char">
    <w:name w:val="Heading 3 Char"/>
    <w:basedOn w:val="DefaultParagraphFont"/>
    <w:link w:val="Heading3"/>
    <w:rsid w:val="006C165A"/>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6C165A"/>
    <w:rPr>
      <w:rFonts w:ascii="Calibri Light" w:eastAsia="Times New Roman" w:hAnsi="Calibri Light" w:cs="Times New Roman"/>
      <w:i/>
      <w:iCs/>
      <w:color w:val="2E74B5"/>
    </w:rPr>
  </w:style>
  <w:style w:type="paragraph" w:styleId="ListParagraph">
    <w:name w:val="List Paragraph"/>
    <w:basedOn w:val="Normal"/>
    <w:uiPriority w:val="34"/>
    <w:qFormat/>
    <w:rsid w:val="006C165A"/>
    <w:pPr>
      <w:spacing w:after="160" w:line="259" w:lineRule="auto"/>
      <w:ind w:left="720"/>
      <w:contextualSpacing/>
    </w:pPr>
    <w:rPr>
      <w:rFonts w:eastAsiaTheme="minorHAnsi"/>
    </w:rPr>
  </w:style>
  <w:style w:type="character" w:customStyle="1" w:styleId="paragraph28718038">
    <w:name w:val="paragraph 28718038"/>
    <w:basedOn w:val="DefaultParagraphFont"/>
    <w:rsid w:val="006C165A"/>
  </w:style>
  <w:style w:type="character" w:customStyle="1" w:styleId="xref">
    <w:name w:val="xref"/>
    <w:basedOn w:val="DefaultParagraphFont"/>
    <w:rsid w:val="006C165A"/>
  </w:style>
  <w:style w:type="character" w:styleId="Hyperlink">
    <w:name w:val="Hyperlink"/>
    <w:uiPriority w:val="99"/>
    <w:rsid w:val="006C165A"/>
    <w:rPr>
      <w:color w:val="0000FF"/>
      <w:u w:val="single"/>
    </w:rPr>
  </w:style>
  <w:style w:type="character" w:customStyle="1" w:styleId="references0">
    <w:name w:val="references 0"/>
    <w:basedOn w:val="DefaultParagraphFont"/>
    <w:rsid w:val="006C165A"/>
  </w:style>
  <w:style w:type="paragraph" w:customStyle="1" w:styleId="para">
    <w:name w:val="para"/>
    <w:basedOn w:val="Normal"/>
    <w:rsid w:val="006C16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C165A"/>
    <w:pPr>
      <w:autoSpaceDE w:val="0"/>
      <w:autoSpaceDN w:val="0"/>
      <w:adjustRightInd w:val="0"/>
      <w:spacing w:after="0" w:line="240" w:lineRule="auto"/>
    </w:pPr>
    <w:rPr>
      <w:rFonts w:ascii="Utopia Std" w:eastAsia="Times New Roman" w:hAnsi="Utopia Std" w:cs="Utopia Std"/>
      <w:color w:val="000000"/>
      <w:sz w:val="24"/>
      <w:szCs w:val="24"/>
    </w:rPr>
  </w:style>
  <w:style w:type="character" w:customStyle="1" w:styleId="A1">
    <w:name w:val="A1"/>
    <w:rsid w:val="006C165A"/>
    <w:rPr>
      <w:rFonts w:cs="Utopia Std"/>
      <w:color w:val="000000"/>
      <w:sz w:val="12"/>
      <w:szCs w:val="12"/>
    </w:rPr>
  </w:style>
  <w:style w:type="character" w:customStyle="1" w:styleId="paragraph28718054">
    <w:name w:val="paragraph 28718054"/>
    <w:basedOn w:val="DefaultParagraphFont"/>
    <w:rsid w:val="006C165A"/>
  </w:style>
  <w:style w:type="character" w:customStyle="1" w:styleId="paragraph28718062">
    <w:name w:val="paragraph 28718062"/>
    <w:basedOn w:val="DefaultParagraphFont"/>
    <w:rsid w:val="006C165A"/>
  </w:style>
  <w:style w:type="character" w:customStyle="1" w:styleId="paragraph28718070">
    <w:name w:val="paragraph 28718070"/>
    <w:basedOn w:val="DefaultParagraphFont"/>
    <w:rsid w:val="006C165A"/>
  </w:style>
  <w:style w:type="character" w:customStyle="1" w:styleId="element-citation">
    <w:name w:val="element-citation"/>
    <w:basedOn w:val="DefaultParagraphFont"/>
    <w:rsid w:val="006C165A"/>
  </w:style>
  <w:style w:type="character" w:customStyle="1" w:styleId="ref-journal">
    <w:name w:val="ref-journal"/>
    <w:basedOn w:val="DefaultParagraphFont"/>
    <w:rsid w:val="006C165A"/>
  </w:style>
  <w:style w:type="character" w:customStyle="1" w:styleId="ref-vol">
    <w:name w:val="ref-vol"/>
    <w:basedOn w:val="DefaultParagraphFont"/>
    <w:rsid w:val="006C165A"/>
  </w:style>
  <w:style w:type="character" w:customStyle="1" w:styleId="cit">
    <w:name w:val="cit"/>
    <w:basedOn w:val="DefaultParagraphFont"/>
    <w:rsid w:val="006C165A"/>
  </w:style>
  <w:style w:type="character" w:styleId="Emphasis">
    <w:name w:val="Emphasis"/>
    <w:qFormat/>
    <w:rsid w:val="006C165A"/>
    <w:rPr>
      <w:i/>
      <w:iCs/>
    </w:rPr>
  </w:style>
  <w:style w:type="table" w:styleId="TableGrid">
    <w:name w:val="Table Grid"/>
    <w:basedOn w:val="TableNormal"/>
    <w:uiPriority w:val="39"/>
    <w:rsid w:val="006C165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65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6C165A"/>
    <w:rPr>
      <w:rFonts w:ascii="Calibri" w:eastAsia="Calibri" w:hAnsi="Calibri" w:cs="Times New Roman"/>
    </w:rPr>
  </w:style>
  <w:style w:type="paragraph" w:styleId="Footer">
    <w:name w:val="footer"/>
    <w:basedOn w:val="Normal"/>
    <w:link w:val="FooterChar"/>
    <w:uiPriority w:val="99"/>
    <w:unhideWhenUsed/>
    <w:rsid w:val="006C165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6C165A"/>
    <w:rPr>
      <w:rFonts w:ascii="Calibri" w:eastAsia="Calibri" w:hAnsi="Calibri" w:cs="Times New Roman"/>
    </w:rPr>
  </w:style>
  <w:style w:type="paragraph" w:styleId="BalloonText">
    <w:name w:val="Balloon Text"/>
    <w:basedOn w:val="Normal"/>
    <w:link w:val="BalloonTextChar"/>
    <w:uiPriority w:val="99"/>
    <w:semiHidden/>
    <w:unhideWhenUsed/>
    <w:rsid w:val="006C165A"/>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C165A"/>
    <w:rPr>
      <w:rFonts w:ascii="Tahoma" w:eastAsia="Calibri" w:hAnsi="Tahoma" w:cs="Tahoma"/>
      <w:sz w:val="16"/>
      <w:szCs w:val="16"/>
    </w:rPr>
  </w:style>
  <w:style w:type="table" w:customStyle="1" w:styleId="LightList1">
    <w:name w:val="Light List1"/>
    <w:basedOn w:val="TableNormal"/>
    <w:uiPriority w:val="61"/>
    <w:rsid w:val="006C165A"/>
    <w:pPr>
      <w:spacing w:after="0" w:line="240" w:lineRule="auto"/>
    </w:pPr>
    <w:rPr>
      <w:rFonts w:ascii="Calibri" w:eastAsia="Calibri"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TableNormal"/>
    <w:uiPriority w:val="65"/>
    <w:rsid w:val="006C165A"/>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Jokerman" w:eastAsia="Times New Roman" w:hAnsi="Jokerman"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ghtShading-Accent11">
    <w:name w:val="Light Shading - Accent 11"/>
    <w:basedOn w:val="TableNormal"/>
    <w:uiPriority w:val="60"/>
    <w:rsid w:val="006C165A"/>
    <w:pPr>
      <w:spacing w:after="0" w:line="240" w:lineRule="auto"/>
    </w:pPr>
    <w:rPr>
      <w:rFonts w:ascii="Calibri" w:eastAsia="Calibri" w:hAnsi="Calibri" w:cs="Times New Roman"/>
      <w:color w:val="2E74B5"/>
      <w:sz w:val="20"/>
      <w:szCs w:val="20"/>
      <w:lang w:val="en-IN"/>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paragraph" w:styleId="NormalWeb">
    <w:name w:val="Normal (Web)"/>
    <w:basedOn w:val="Normal"/>
    <w:uiPriority w:val="99"/>
    <w:unhideWhenUsed/>
    <w:rsid w:val="006C165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LightShading-Accent5">
    <w:name w:val="Light Shading Accent 5"/>
    <w:basedOn w:val="TableNormal"/>
    <w:uiPriority w:val="60"/>
    <w:rsid w:val="006C165A"/>
    <w:pPr>
      <w:spacing w:after="0" w:line="240" w:lineRule="auto"/>
    </w:pPr>
    <w:rPr>
      <w:rFonts w:ascii="Calibri" w:eastAsia="Calibri" w:hAnsi="Calibri" w:cs="Times New Roman"/>
      <w:color w:val="2F5496"/>
      <w:sz w:val="20"/>
      <w:szCs w:val="20"/>
      <w:lang w:val="en-IN"/>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List-Accent3">
    <w:name w:val="Light List Accent 3"/>
    <w:basedOn w:val="TableNormal"/>
    <w:uiPriority w:val="61"/>
    <w:rsid w:val="006C165A"/>
    <w:pPr>
      <w:spacing w:after="0" w:line="240" w:lineRule="auto"/>
    </w:pPr>
    <w:rPr>
      <w:rFonts w:ascii="Calibri" w:eastAsia="Calibri" w:hAnsi="Calibri" w:cs="Times New Roman"/>
      <w:sz w:val="20"/>
      <w:szCs w:val="20"/>
      <w:lang w:val="en-I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styleId="Bibliography">
    <w:name w:val="Bibliography"/>
    <w:basedOn w:val="Normal"/>
    <w:next w:val="Normal"/>
    <w:uiPriority w:val="37"/>
    <w:unhideWhenUsed/>
    <w:rsid w:val="006C165A"/>
    <w:rPr>
      <w:rFonts w:ascii="Calibri" w:eastAsia="Calibri" w:hAnsi="Calibri" w:cs="Times New Roman"/>
      <w:lang w:val="en-IN"/>
    </w:rPr>
  </w:style>
  <w:style w:type="character" w:customStyle="1" w:styleId="apple-converted-space">
    <w:name w:val="apple-converted-space"/>
    <w:basedOn w:val="DefaultParagraphFont"/>
    <w:rsid w:val="006C165A"/>
  </w:style>
  <w:style w:type="character" w:customStyle="1" w:styleId="etyl">
    <w:name w:val="etyl"/>
    <w:basedOn w:val="DefaultParagraphFont"/>
    <w:rsid w:val="006C165A"/>
  </w:style>
  <w:style w:type="character" w:customStyle="1" w:styleId="mention-gloss-paren">
    <w:name w:val="mention-gloss-paren"/>
    <w:basedOn w:val="DefaultParagraphFont"/>
    <w:rsid w:val="006C165A"/>
  </w:style>
  <w:style w:type="character" w:customStyle="1" w:styleId="mention-gloss-double-quote">
    <w:name w:val="mention-gloss-double-quote"/>
    <w:basedOn w:val="DefaultParagraphFont"/>
    <w:rsid w:val="006C165A"/>
  </w:style>
  <w:style w:type="character" w:customStyle="1" w:styleId="mention-gloss">
    <w:name w:val="mention-gloss"/>
    <w:basedOn w:val="DefaultParagraphFont"/>
    <w:rsid w:val="006C165A"/>
  </w:style>
  <w:style w:type="character" w:styleId="CommentReference">
    <w:name w:val="annotation reference"/>
    <w:uiPriority w:val="99"/>
    <w:semiHidden/>
    <w:unhideWhenUsed/>
    <w:rsid w:val="006C165A"/>
    <w:rPr>
      <w:sz w:val="18"/>
      <w:szCs w:val="18"/>
    </w:rPr>
  </w:style>
  <w:style w:type="paragraph" w:styleId="CommentText">
    <w:name w:val="annotation text"/>
    <w:basedOn w:val="Normal"/>
    <w:link w:val="CommentTextChar"/>
    <w:uiPriority w:val="99"/>
    <w:semiHidden/>
    <w:unhideWhenUsed/>
    <w:rsid w:val="006C165A"/>
    <w:pPr>
      <w:spacing w:line="240" w:lineRule="auto"/>
    </w:pPr>
    <w:rPr>
      <w:rFonts w:ascii="Calibri" w:eastAsia="Calibri" w:hAnsi="Calibri" w:cs="Times New Roman"/>
      <w:sz w:val="24"/>
      <w:szCs w:val="24"/>
      <w:lang w:val="en-IN"/>
    </w:rPr>
  </w:style>
  <w:style w:type="character" w:customStyle="1" w:styleId="CommentTextChar">
    <w:name w:val="Comment Text Char"/>
    <w:basedOn w:val="DefaultParagraphFont"/>
    <w:link w:val="CommentText"/>
    <w:uiPriority w:val="99"/>
    <w:semiHidden/>
    <w:rsid w:val="006C165A"/>
    <w:rPr>
      <w:rFonts w:ascii="Calibri" w:eastAsia="Calibri" w:hAnsi="Calibri" w:cs="Times New Roman"/>
      <w:sz w:val="24"/>
      <w:szCs w:val="24"/>
      <w:lang w:val="en-IN"/>
    </w:rPr>
  </w:style>
  <w:style w:type="paragraph" w:styleId="CommentSubject">
    <w:name w:val="annotation subject"/>
    <w:basedOn w:val="CommentText"/>
    <w:next w:val="CommentText"/>
    <w:link w:val="CommentSubjectChar"/>
    <w:uiPriority w:val="99"/>
    <w:semiHidden/>
    <w:unhideWhenUsed/>
    <w:rsid w:val="006C165A"/>
    <w:rPr>
      <w:b/>
      <w:bCs/>
      <w:sz w:val="20"/>
      <w:szCs w:val="20"/>
    </w:rPr>
  </w:style>
  <w:style w:type="character" w:customStyle="1" w:styleId="CommentSubjectChar">
    <w:name w:val="Comment Subject Char"/>
    <w:basedOn w:val="CommentTextChar"/>
    <w:link w:val="CommentSubject"/>
    <w:uiPriority w:val="99"/>
    <w:semiHidden/>
    <w:rsid w:val="006C165A"/>
    <w:rPr>
      <w:rFonts w:ascii="Calibri" w:eastAsia="Calibri" w:hAnsi="Calibri" w:cs="Times New Roman"/>
      <w:b/>
      <w:bCs/>
      <w:sz w:val="20"/>
      <w:szCs w:val="20"/>
      <w:lang w:val="en-IN"/>
    </w:rPr>
  </w:style>
  <w:style w:type="table" w:customStyle="1" w:styleId="TableGrid11">
    <w:name w:val="Table Grid11"/>
    <w:basedOn w:val="TableNormal"/>
    <w:next w:val="TableGrid"/>
    <w:uiPriority w:val="39"/>
    <w:rsid w:val="006C165A"/>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C165A"/>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C165A"/>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C165A"/>
    <w:pPr>
      <w:spacing w:after="0" w:line="240" w:lineRule="auto"/>
    </w:pPr>
    <w:rPr>
      <w:rFonts w:eastAsiaTheme="minorHAnsi"/>
    </w:rPr>
  </w:style>
  <w:style w:type="paragraph" w:styleId="NoSpacing">
    <w:name w:val="No Spacing"/>
    <w:uiPriority w:val="1"/>
    <w:qFormat/>
    <w:rsid w:val="00E518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46701-5A8F-470D-9F33-15B09916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TotalTime>
  <Pages>21</Pages>
  <Words>4695</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Roy, Vivin</cp:lastModifiedBy>
  <cp:revision>199</cp:revision>
  <cp:lastPrinted>2021-01-18T08:12:00Z</cp:lastPrinted>
  <dcterms:created xsi:type="dcterms:W3CDTF">2020-12-26T09:22:00Z</dcterms:created>
  <dcterms:modified xsi:type="dcterms:W3CDTF">2021-05-13T07:23:00Z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7fc6ae7c-cd99-394b-b74c-983e92964a73</vt:lpwstr>
  </property>
</Properties>
</file>