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70125" w14:textId="77777777" w:rsidR="00D2702F" w:rsidRPr="003A27B8" w:rsidRDefault="00D2702F" w:rsidP="00D2702F">
      <w:pPr>
        <w:pStyle w:val="Normal1"/>
        <w:spacing w:after="120"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Title:</w:t>
      </w:r>
      <w:r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Case Report of a Rare Case of Herpes Zoster and Liver Failure in an Elderly Woman</w:t>
      </w:r>
    </w:p>
    <w:p w14:paraId="0C33CEDF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Contributors:  </w:t>
      </w:r>
    </w:p>
    <w:p w14:paraId="3A94001A" w14:textId="77777777" w:rsidR="00D2702F" w:rsidRPr="003A27B8" w:rsidRDefault="00D2702F" w:rsidP="00D270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 H Malkani 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5AD4BD09" w14:textId="77777777" w:rsidR="00D2702F" w:rsidRPr="003A27B8" w:rsidRDefault="00D2702F" w:rsidP="00D270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Suman Karmakar 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2E64E913" w14:textId="77777777" w:rsidR="00D2702F" w:rsidRPr="003A27B8" w:rsidRDefault="00D2702F" w:rsidP="00D270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Maninder Singh Setia 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704E3978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Jaslok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Hospital and Research Centre</w:t>
      </w:r>
    </w:p>
    <w:p w14:paraId="03FF99F2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 Skin Pimples Pvt. Ltd., Mumbai</w:t>
      </w:r>
    </w:p>
    <w:p w14:paraId="7FC19B5F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Consultant Dermatologist and Epidemiologist, Mumbai</w:t>
      </w:r>
    </w:p>
    <w:p w14:paraId="41729023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1055AC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Corresponding Author</w:t>
      </w:r>
    </w:p>
    <w:p w14:paraId="04B381DA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Dr. Ram H Malkani</w:t>
      </w:r>
    </w:p>
    <w:p w14:paraId="75893DEA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Consultant Dermatologist</w:t>
      </w:r>
    </w:p>
    <w:p w14:paraId="2D194347" w14:textId="77777777" w:rsidR="00D2702F" w:rsidRPr="003A27B8" w:rsidRDefault="00D2702F" w:rsidP="00D270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Jaslok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Hospital and Research Centre</w:t>
      </w:r>
    </w:p>
    <w:p w14:paraId="3D36CBA4" w14:textId="77777777" w:rsidR="00D2702F" w:rsidRPr="003A27B8" w:rsidRDefault="00D2702F" w:rsidP="00D2702F">
      <w:pPr>
        <w:pStyle w:val="Default"/>
        <w:spacing w:line="360" w:lineRule="auto"/>
        <w:rPr>
          <w:color w:val="000000" w:themeColor="text1"/>
        </w:rPr>
      </w:pPr>
      <w:r w:rsidRPr="003A27B8">
        <w:rPr>
          <w:color w:val="000000" w:themeColor="text1"/>
        </w:rPr>
        <w:t xml:space="preserve">Room no. 200, </w:t>
      </w:r>
    </w:p>
    <w:p w14:paraId="7A2F2C0A" w14:textId="77777777" w:rsidR="00D2702F" w:rsidRPr="003A27B8" w:rsidRDefault="00D2702F" w:rsidP="00D2702F">
      <w:pPr>
        <w:pStyle w:val="Default"/>
        <w:spacing w:line="360" w:lineRule="auto"/>
        <w:rPr>
          <w:color w:val="000000" w:themeColor="text1"/>
        </w:rPr>
      </w:pPr>
      <w:r w:rsidRPr="003A27B8">
        <w:rPr>
          <w:color w:val="000000" w:themeColor="text1"/>
        </w:rPr>
        <w:t xml:space="preserve">Dr. G Deshmukh Marg, </w:t>
      </w:r>
    </w:p>
    <w:p w14:paraId="7EB97730" w14:textId="77777777" w:rsidR="00D2702F" w:rsidRPr="003A27B8" w:rsidRDefault="00D2702F" w:rsidP="00D2702F">
      <w:pPr>
        <w:pStyle w:val="Default"/>
        <w:spacing w:line="360" w:lineRule="auto"/>
        <w:rPr>
          <w:color w:val="000000" w:themeColor="text1"/>
        </w:rPr>
      </w:pPr>
      <w:r w:rsidRPr="003A27B8">
        <w:rPr>
          <w:color w:val="000000" w:themeColor="text1"/>
        </w:rPr>
        <w:t xml:space="preserve">Mumbai – 400026 </w:t>
      </w:r>
    </w:p>
    <w:p w14:paraId="2C1E5A82" w14:textId="77777777" w:rsidR="00D2702F" w:rsidRPr="003A27B8" w:rsidRDefault="00D2702F" w:rsidP="00D2702F">
      <w:pPr>
        <w:pStyle w:val="Default"/>
        <w:spacing w:line="360" w:lineRule="auto"/>
        <w:rPr>
          <w:color w:val="000000" w:themeColor="text1"/>
        </w:rPr>
      </w:pPr>
      <w:r w:rsidRPr="003A27B8">
        <w:rPr>
          <w:color w:val="000000" w:themeColor="text1"/>
        </w:rPr>
        <w:t xml:space="preserve">Email: </w:t>
      </w:r>
      <w:hyperlink r:id="rId5" w:history="1">
        <w:r w:rsidRPr="003A27B8">
          <w:rPr>
            <w:rStyle w:val="Hyperlink"/>
            <w:color w:val="000000" w:themeColor="text1"/>
          </w:rPr>
          <w:t>malkanipub@gmail.com</w:t>
        </w:r>
      </w:hyperlink>
      <w:r w:rsidRPr="003A27B8">
        <w:rPr>
          <w:color w:val="000000" w:themeColor="text1"/>
        </w:rPr>
        <w:t xml:space="preserve"> </w:t>
      </w:r>
    </w:p>
    <w:p w14:paraId="238300A0" w14:textId="77777777" w:rsidR="00D2702F" w:rsidRPr="003A27B8" w:rsidRDefault="00D2702F" w:rsidP="00D2702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BBB3F8" w14:textId="77777777" w:rsidR="00D2702F" w:rsidRPr="003A27B8" w:rsidRDefault="00D2702F" w:rsidP="000B2CFF">
      <w:pPr>
        <w:spacing w:after="16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F413A1" w14:textId="77777777" w:rsidR="00D2702F" w:rsidRPr="003A27B8" w:rsidRDefault="00D2702F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8A1B591" w14:textId="77777777" w:rsidR="000B2CFF" w:rsidRPr="003A27B8" w:rsidRDefault="000B2CFF" w:rsidP="000B2CFF">
      <w:pPr>
        <w:spacing w:after="16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BF70B8" w14:textId="77777777" w:rsidR="00E64F8D" w:rsidRPr="003A27B8" w:rsidRDefault="00E64F8D" w:rsidP="000B2CFF">
      <w:p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Abstract:</w:t>
      </w:r>
      <w:r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CFE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Varicella-zoster is a common infection that presents as either a primary infection in children. Varicella or as generalized herpes zoster due to immunosuppression and decline in VZV-specific cell-mediated immunity. We wish to present a case of a 60-year-old with herpes zoster, who had received cyclosporine earlier for lichen planus and was subsequently treated with oral steroids for a recurrence of the lichen planus. We speculate that immunosuppression; due to oral steroids could be a factor in reactivating the VZV. Treatment with intravenous acyclovir was planned but could not be initiated because her condition proved to be fatal, due to the acute liver and multi-organ failure and we conclude that liver function tests must be done in elderly patients with generalized herpes zoster and that possibly an early treatment with intravenous acyclovir. </w:t>
      </w:r>
    </w:p>
    <w:p w14:paraId="315402AF" w14:textId="77777777" w:rsidR="000924C5" w:rsidRPr="003A27B8" w:rsidRDefault="000924C5" w:rsidP="000B2CFF">
      <w:p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Keywords: </w:t>
      </w:r>
      <w:r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Varicella-zoster; immunosuppression; Acute liver failure</w:t>
      </w:r>
    </w:p>
    <w:p w14:paraId="7EF7C41E" w14:textId="77777777" w:rsidR="008C02AB" w:rsidRPr="003A27B8" w:rsidRDefault="00E64F8D" w:rsidP="008C02AB">
      <w:pPr>
        <w:pStyle w:val="NormalWeb"/>
        <w:spacing w:before="0" w:beforeAutospacing="0" w:after="0" w:afterAutospacing="0"/>
        <w:rPr>
          <w:color w:val="000000" w:themeColor="text1"/>
        </w:rPr>
      </w:pPr>
      <w:r w:rsidRPr="003A27B8">
        <w:rPr>
          <w:b/>
          <w:color w:val="000000" w:themeColor="text1"/>
        </w:rPr>
        <w:t>Introduction:</w:t>
      </w:r>
      <w:r w:rsidR="008C02AB" w:rsidRPr="003A27B8">
        <w:rPr>
          <w:color w:val="000000" w:themeColor="text1"/>
        </w:rPr>
        <w:t xml:space="preserve"> </w:t>
      </w:r>
    </w:p>
    <w:p w14:paraId="022BBD38" w14:textId="77777777" w:rsidR="00484656" w:rsidRPr="003A27B8" w:rsidRDefault="00484656" w:rsidP="008C02AB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306CCCE" w14:textId="77777777" w:rsidR="008C02AB" w:rsidRPr="003A27B8" w:rsidRDefault="008C02AB" w:rsidP="008C02AB">
      <w:pPr>
        <w:pStyle w:val="NormalWeb"/>
        <w:spacing w:before="0" w:beforeAutospacing="0" w:after="0" w:afterAutospacing="0" w:line="360" w:lineRule="auto"/>
        <w:rPr>
          <w:color w:val="000000" w:themeColor="text1"/>
          <w:vertAlign w:val="superscript"/>
        </w:rPr>
      </w:pPr>
      <w:r w:rsidRPr="003A27B8">
        <w:rPr>
          <w:color w:val="000000" w:themeColor="text1"/>
        </w:rPr>
        <w:t>Hepatitis secondary to generalized herpes simplex or generalized herpes zoster is a rare clinical presentation and around 30 cases of co-infection occurring in immunosuppressed as well as immunocompetent patients have been reported worldwide</w:t>
      </w:r>
      <w:r w:rsidR="004C48A2" w:rsidRPr="003A27B8">
        <w:rPr>
          <w:b/>
          <w:bCs/>
          <w:color w:val="000000" w:themeColor="text1"/>
        </w:rPr>
        <w:t xml:space="preserve">. </w:t>
      </w:r>
      <w:r w:rsidR="004C48A2" w:rsidRPr="003A27B8">
        <w:rPr>
          <w:b/>
          <w:bCs/>
          <w:color w:val="000000" w:themeColor="text1"/>
          <w:vertAlign w:val="superscript"/>
        </w:rPr>
        <w:t>1, 2</w:t>
      </w:r>
    </w:p>
    <w:p w14:paraId="16EBF546" w14:textId="2CE476F2" w:rsidR="00E64F8D" w:rsidRPr="003A27B8" w:rsidRDefault="008C02AB" w:rsidP="008C02A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primary infection latent in the dorsal nerve root ganglia and may be reactivated as a secondary infection, as Herpes Zoster, when specific cell-mediated immunity (CMI) declines. Herpes Zoster may also occur along with the primary infection in patients with impaired immunity. </w:t>
      </w:r>
      <w:r w:rsidRPr="003A2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Herpes Zoster is 20 to 100 times more common in an immunosuppressed </w:t>
      </w:r>
      <w:r w:rsidRPr="003A2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4</w:t>
      </w:r>
      <w:r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is characterized by unilateral, painful vesicular rash, limited to a single dermatome. Disseminated Herpes Zoster can involve mucous membranes, lungs, central nervous system, the cardiovascular system (CVS), bladder, skeletal system, and the gastrointestinal system including ulcers, hepatitis, and pancreatitis</w:t>
      </w:r>
      <w:r w:rsidRPr="003A2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is usually fatal.</w:t>
      </w:r>
      <w:r w:rsidR="004C48A2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8A2" w:rsidRPr="003A27B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5 - 7</w:t>
      </w:r>
    </w:p>
    <w:p w14:paraId="752D4143" w14:textId="77777777" w:rsidR="00E64F8D" w:rsidRPr="003A27B8" w:rsidRDefault="00E64F8D" w:rsidP="000B2CF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DA870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000000" w:themeColor="text1"/>
          <w:shd w:val="clear" w:color="auto" w:fill="FFFFFF"/>
        </w:rPr>
      </w:pPr>
      <w:r w:rsidRPr="003A27B8">
        <w:rPr>
          <w:b/>
          <w:color w:val="000000" w:themeColor="text1"/>
        </w:rPr>
        <w:t>Case Report: </w:t>
      </w:r>
      <w:r w:rsidRPr="003A27B8">
        <w:rPr>
          <w:color w:val="000000" w:themeColor="text1"/>
        </w:rPr>
        <w:t xml:space="preserve"> A </w:t>
      </w:r>
      <w:r w:rsidRPr="003A27B8">
        <w:rPr>
          <w:color w:val="000000" w:themeColor="text1"/>
          <w:shd w:val="clear" w:color="auto" w:fill="FFFFFF"/>
        </w:rPr>
        <w:t>60yr old woman was in coma</w:t>
      </w:r>
      <w:r w:rsidR="00C02BE5" w:rsidRPr="003A27B8">
        <w:rPr>
          <w:color w:val="000000" w:themeColor="text1"/>
          <w:shd w:val="clear" w:color="auto" w:fill="FFFFFF"/>
        </w:rPr>
        <w:t>tose condition</w:t>
      </w:r>
      <w:r w:rsidRPr="003A27B8">
        <w:rPr>
          <w:color w:val="000000" w:themeColor="text1"/>
          <w:shd w:val="clear" w:color="auto" w:fill="FFFFFF"/>
        </w:rPr>
        <w:t xml:space="preserve"> admitted to our ICU, referred for t</w:t>
      </w:r>
      <w:r w:rsidR="00B22CEC" w:rsidRPr="003A27B8">
        <w:rPr>
          <w:color w:val="000000" w:themeColor="text1"/>
          <w:shd w:val="clear" w:color="auto" w:fill="FFFFFF"/>
        </w:rPr>
        <w:t xml:space="preserve">he generalized rash on her body. </w:t>
      </w:r>
      <w:r w:rsidR="009833AE" w:rsidRPr="003A27B8">
        <w:rPr>
          <w:color w:val="000000" w:themeColor="text1"/>
          <w:shd w:val="clear" w:color="auto" w:fill="FFFFFF"/>
        </w:rPr>
        <w:t>The rash was generaliz</w:t>
      </w:r>
      <w:r w:rsidRPr="003A27B8">
        <w:rPr>
          <w:color w:val="000000" w:themeColor="text1"/>
          <w:shd w:val="clear" w:color="auto" w:fill="FFFFFF"/>
        </w:rPr>
        <w:t xml:space="preserve">ed, vesicular and pigmented, generalized, at places with a cluster of tiny vesicles around a large vesicles the patient had a history of lichen planus, so the assumption was that the present rash could be an exacerbation of lichen planus for which she was treated with. </w:t>
      </w:r>
    </w:p>
    <w:p w14:paraId="46A3CFB1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3A27B8">
        <w:rPr>
          <w:color w:val="000000" w:themeColor="text1"/>
        </w:rPr>
        <w:t xml:space="preserve">Cyclosporine about four years later, she developed a rash and  itching over the arms, neck, breasts, back  and toes, which was seen as a recurrence of generalized  lichen planus and treated with oral </w:t>
      </w:r>
      <w:r w:rsidRPr="003A27B8">
        <w:rPr>
          <w:color w:val="000000" w:themeColor="text1"/>
        </w:rPr>
        <w:lastRenderedPageBreak/>
        <w:t>betamethasone, by a physician, but  the rashes  increased,  she complained of abdominal pain, had vomiting, and an altered sensorium and was  treated with proton pump inhibitor (PPI), painkillers, meropenem, clindamycin, and fluconazole, at a local hospital, but with no improvement in her cond</w:t>
      </w:r>
      <w:r w:rsidR="007815D7" w:rsidRPr="003A27B8">
        <w:rPr>
          <w:color w:val="000000" w:themeColor="text1"/>
        </w:rPr>
        <w:t>ition she was suspected to have</w:t>
      </w:r>
      <w:r w:rsidRPr="003A27B8">
        <w:rPr>
          <w:color w:val="000000" w:themeColor="text1"/>
        </w:rPr>
        <w:t xml:space="preserve"> acute liver failure and was transferred to our hospital.</w:t>
      </w:r>
    </w:p>
    <w:p w14:paraId="15638E92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000000" w:themeColor="text1"/>
          <w:shd w:val="clear" w:color="auto" w:fill="FFFFFF"/>
        </w:rPr>
      </w:pPr>
      <w:r w:rsidRPr="003A27B8">
        <w:rPr>
          <w:color w:val="000000" w:themeColor="text1"/>
        </w:rPr>
        <w:t xml:space="preserve">On admission she was in shock, was intubated </w:t>
      </w:r>
      <w:r w:rsidRPr="003A27B8">
        <w:rPr>
          <w:color w:val="000000" w:themeColor="text1"/>
          <w:shd w:val="clear" w:color="auto" w:fill="FFFFFF"/>
        </w:rPr>
        <w:t>put on the ventilator</w:t>
      </w:r>
      <w:r w:rsidRPr="003A27B8">
        <w:rPr>
          <w:color w:val="000000" w:themeColor="text1"/>
        </w:rPr>
        <w:t xml:space="preserve"> and sustained low-efficiency dialysis (SLED). The previous medications for bacterial sepsis were continued with the addition of Dopamine, Adrenaline, and CRPT</w:t>
      </w:r>
      <w:r w:rsidRPr="003A27B8">
        <w:rPr>
          <w:color w:val="000000" w:themeColor="text1"/>
          <w:shd w:val="clear" w:color="auto" w:fill="FFFFFF"/>
        </w:rPr>
        <w:t>.</w:t>
      </w:r>
    </w:p>
    <w:p w14:paraId="276145A4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3A27B8">
        <w:rPr>
          <w:color w:val="000000" w:themeColor="text1"/>
        </w:rPr>
        <w:t xml:space="preserve">On clinical examination, she was drowsy but arousable. </w:t>
      </w:r>
      <w:r w:rsidRPr="003A27B8">
        <w:rPr>
          <w:color w:val="000000" w:themeColor="text1"/>
          <w:shd w:val="clear" w:color="auto" w:fill="FFFFFF"/>
        </w:rPr>
        <w:t>There was a visible rash on the trunk and oral ulceration, which resembled lichen planus at places, but on a closer look, appeared vesicular without umbilication.</w:t>
      </w:r>
      <w:r w:rsidRPr="003A27B8">
        <w:rPr>
          <w:color w:val="000000" w:themeColor="text1"/>
        </w:rPr>
        <w:br/>
      </w:r>
      <w:r w:rsidRPr="003A27B8">
        <w:rPr>
          <w:color w:val="000000" w:themeColor="text1"/>
          <w:shd w:val="clear" w:color="auto" w:fill="FFFFFF"/>
        </w:rPr>
        <w:t xml:space="preserve">The vesicular rash was biopsied and a Tzanck smear and biopsy confirmed the diagnosis of a </w:t>
      </w:r>
      <w:r w:rsidRPr="003A27B8">
        <w:rPr>
          <w:color w:val="000000" w:themeColor="text1"/>
        </w:rPr>
        <w:t>herpes</w:t>
      </w:r>
      <w:r w:rsidRPr="003A27B8">
        <w:rPr>
          <w:color w:val="000000" w:themeColor="text1"/>
          <w:shd w:val="clear" w:color="auto" w:fill="FFFFFF"/>
        </w:rPr>
        <w:t xml:space="preserve"> infection, either herpes simplex or zoster but it was difficult to differentiate between the two, which is the limitation of the Tzanck smear and histopathology in </w:t>
      </w:r>
      <w:r w:rsidRPr="003A27B8">
        <w:rPr>
          <w:color w:val="000000" w:themeColor="text1"/>
        </w:rPr>
        <w:t>varicella, herpes zoster and herpes simplex</w:t>
      </w:r>
      <w:r w:rsidR="004C48A2" w:rsidRPr="003A27B8">
        <w:rPr>
          <w:color w:val="000000" w:themeColor="text1"/>
          <w:shd w:val="clear" w:color="auto" w:fill="FFFFFF"/>
        </w:rPr>
        <w:t xml:space="preserve"> </w:t>
      </w:r>
      <w:r w:rsidR="004C48A2" w:rsidRPr="003A27B8">
        <w:rPr>
          <w:b/>
          <w:color w:val="000000" w:themeColor="text1"/>
          <w:shd w:val="clear" w:color="auto" w:fill="FFFFFF"/>
          <w:vertAlign w:val="superscript"/>
        </w:rPr>
        <w:t>8</w:t>
      </w:r>
      <w:r w:rsidRPr="003A27B8">
        <w:rPr>
          <w:color w:val="000000" w:themeColor="text1"/>
        </w:rPr>
        <w:t>.</w:t>
      </w:r>
    </w:p>
    <w:p w14:paraId="59B96CCF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3A27B8">
        <w:rPr>
          <w:color w:val="000000" w:themeColor="text1"/>
        </w:rPr>
        <w:t>Ultrasound showed a pseudo oedematous gall bladder with mild ascites. The computerized tomography showed fat stranding surrounding the pancreas, suggestive of pancreatitis.</w:t>
      </w:r>
    </w:p>
    <w:p w14:paraId="39901EEF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3A27B8">
        <w:rPr>
          <w:color w:val="000000" w:themeColor="text1"/>
        </w:rPr>
        <w:t xml:space="preserve">Laboratory investigations showed Amylase 128.1 U/L, Lipase 110.7 U/L, HB/PCV 17.1/480, total leukocyte count 24210 cells/mm3, platelet count of 44000 µl, RBS 9/6, BISN 12, Creatinine 0.52, Alkaline Phosphatase 531 IU/L, Alanine Aminotransferase 3968 IU/L, Aspartate Aminotransferase 5482 IU/L, </w:t>
      </w:r>
      <w:r w:rsidRPr="003A27B8">
        <w:rPr>
          <w:color w:val="000000" w:themeColor="text1"/>
        </w:rPr>
        <w:br/>
        <w:t>Treatment with intravenous acyclovir was planned but before it could be administered the patient died, with acute liver failure, multi-organ failure, and progr</w:t>
      </w:r>
      <w:r w:rsidR="004C48A2" w:rsidRPr="003A27B8">
        <w:rPr>
          <w:color w:val="000000" w:themeColor="text1"/>
        </w:rPr>
        <w:t>essive septic shock.</w:t>
      </w:r>
    </w:p>
    <w:p w14:paraId="68FF9994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b/>
          <w:color w:val="000000" w:themeColor="text1"/>
        </w:rPr>
      </w:pPr>
      <w:r w:rsidRPr="003A27B8">
        <w:rPr>
          <w:b/>
          <w:color w:val="000000" w:themeColor="text1"/>
        </w:rPr>
        <w:t>Discussion:</w:t>
      </w:r>
      <w:r w:rsidRPr="003A27B8">
        <w:rPr>
          <w:color w:val="000000" w:themeColor="text1"/>
        </w:rPr>
        <w:t xml:space="preserve"> Adults above the age of 50 years are at an increased risk for developing herpes zoster, probably due to the </w:t>
      </w:r>
      <w:proofErr w:type="spellStart"/>
      <w:r w:rsidRPr="003A27B8">
        <w:rPr>
          <w:color w:val="000000" w:themeColor="text1"/>
        </w:rPr>
        <w:t>immunosenescence</w:t>
      </w:r>
      <w:proofErr w:type="spellEnd"/>
      <w:r w:rsidRPr="003A27B8">
        <w:rPr>
          <w:color w:val="000000" w:themeColor="text1"/>
        </w:rPr>
        <w:t xml:space="preserve"> associated w</w:t>
      </w:r>
      <w:r w:rsidR="007815D7" w:rsidRPr="003A27B8">
        <w:rPr>
          <w:color w:val="000000" w:themeColor="text1"/>
        </w:rPr>
        <w:t xml:space="preserve">ith advancing age. Age, stress, </w:t>
      </w:r>
      <w:r w:rsidRPr="003A27B8">
        <w:rPr>
          <w:color w:val="000000" w:themeColor="text1"/>
        </w:rPr>
        <w:t xml:space="preserve">immunocompromised status, and immunosuppressive drugs are known factors for viral reactivation and are predisposing factors for visceral involvement and any other factor affecting the cell-mediated immunity may play a role in the reactivation of VZV. </w:t>
      </w:r>
      <w:r w:rsidR="00EF1863" w:rsidRPr="003A27B8">
        <w:rPr>
          <w:b/>
          <w:color w:val="000000" w:themeColor="text1"/>
          <w:vertAlign w:val="superscript"/>
        </w:rPr>
        <w:t>5</w:t>
      </w:r>
    </w:p>
    <w:p w14:paraId="30B3AC0B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  <w:r w:rsidRPr="003A27B8">
        <w:rPr>
          <w:color w:val="000000" w:themeColor="text1"/>
        </w:rPr>
        <w:t xml:space="preserve">This was a rare case of varicella-zoster virus (VZV), and, with multiple organ involvement including hepatitis, pancreatitis, and acute liver failure. The vesicular rash was also confirmed as varicella-zoster, from circumstantial evidence, when 2 to 3 resident doctors of ICU ward who attended the patient developed chickenpox and corroborated with the Tzanck smear test. </w:t>
      </w:r>
      <w:proofErr w:type="gramStart"/>
      <w:r w:rsidRPr="003A27B8">
        <w:rPr>
          <w:color w:val="000000" w:themeColor="text1"/>
        </w:rPr>
        <w:t>However</w:t>
      </w:r>
      <w:proofErr w:type="gramEnd"/>
      <w:r w:rsidRPr="003A27B8">
        <w:rPr>
          <w:color w:val="000000" w:themeColor="text1"/>
        </w:rPr>
        <w:t xml:space="preserve"> on review of literature of few cases of lichen planus was found to be associated with co morbidity as chronic liver </w:t>
      </w:r>
      <w:r w:rsidRPr="003A27B8">
        <w:rPr>
          <w:color w:val="000000" w:themeColor="text1"/>
        </w:rPr>
        <w:lastRenderedPageBreak/>
        <w:t>diseases.</w:t>
      </w:r>
      <w:r w:rsidR="00EF1863" w:rsidRPr="003A27B8">
        <w:rPr>
          <w:b/>
          <w:color w:val="000000" w:themeColor="text1"/>
          <w:vertAlign w:val="superscript"/>
        </w:rPr>
        <w:t>6</w:t>
      </w:r>
      <w:r w:rsidRPr="003A27B8">
        <w:rPr>
          <w:color w:val="000000" w:themeColor="text1"/>
        </w:rPr>
        <w:t xml:space="preserve"> Her treatment for lichen planus with betamethasone could possibly have precipitated the generalized VZV infection.</w:t>
      </w:r>
      <w:r w:rsidRPr="003A27B8">
        <w:rPr>
          <w:color w:val="000000" w:themeColor="text1"/>
          <w:shd w:val="clear" w:color="auto" w:fill="FFFFFF"/>
        </w:rPr>
        <w:t xml:space="preserve"> The intravenous acyclovir as planned could not be used since she died due to her liver and multiorgan failure.</w:t>
      </w:r>
    </w:p>
    <w:p w14:paraId="77DBDD56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  <w:shd w:val="clear" w:color="auto" w:fill="FFFFFF"/>
        </w:rPr>
      </w:pPr>
      <w:r w:rsidRPr="003A27B8">
        <w:rPr>
          <w:color w:val="000000" w:themeColor="text1"/>
        </w:rPr>
        <w:t xml:space="preserve">Besides her age, lichen planus, previous treatment with cyclosporine and or the corticosteroids might be considered as possible immunocompromising factors responsible in reactivating the </w:t>
      </w:r>
      <w:proofErr w:type="spellStart"/>
      <w:r w:rsidRPr="003A27B8">
        <w:rPr>
          <w:color w:val="000000" w:themeColor="text1"/>
        </w:rPr>
        <w:t>generalised</w:t>
      </w:r>
      <w:proofErr w:type="spellEnd"/>
      <w:r w:rsidRPr="003A27B8">
        <w:rPr>
          <w:color w:val="000000" w:themeColor="text1"/>
        </w:rPr>
        <w:t xml:space="preserve"> VZV subsequently leading to acute liver failure and multiorgan failure and fatality (211 words)</w:t>
      </w:r>
    </w:p>
    <w:p w14:paraId="48C7270D" w14:textId="77777777" w:rsidR="00E64F8D" w:rsidRPr="003A27B8" w:rsidRDefault="00E64F8D" w:rsidP="000B2CFF">
      <w:pPr>
        <w:pStyle w:val="Heading1"/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3A27B8">
        <w:rPr>
          <w:color w:val="000000" w:themeColor="text1"/>
          <w:sz w:val="24"/>
          <w:szCs w:val="24"/>
          <w:shd w:val="clear" w:color="auto" w:fill="FFFFFF"/>
        </w:rPr>
        <w:t xml:space="preserve">Conclusion: </w:t>
      </w:r>
      <w:r w:rsidRPr="003A27B8">
        <w:rPr>
          <w:b w:val="0"/>
          <w:color w:val="000000" w:themeColor="text1"/>
          <w:sz w:val="24"/>
          <w:szCs w:val="24"/>
          <w:shd w:val="clear" w:color="auto" w:fill="FFFFFF"/>
        </w:rPr>
        <w:t xml:space="preserve">Elderly patients with herpes zoster must be carefully evaluated, especially for liver functions and though </w:t>
      </w:r>
      <w:r w:rsidRPr="003A27B8">
        <w:rPr>
          <w:b w:val="0"/>
          <w:bCs/>
          <w:color w:val="000000" w:themeColor="text1"/>
          <w:sz w:val="24"/>
          <w:szCs w:val="24"/>
        </w:rPr>
        <w:t>acute liver failure due to the varicella-zoster is rare, it is usually fatal, especially in presence of predisposing immunologic impairment. When there is a high level of suspicion, acyclovir therapy should be initiated immediately and not be delayed</w:t>
      </w:r>
      <w:r w:rsidRPr="003A27B8">
        <w:rPr>
          <w:bCs/>
          <w:color w:val="000000" w:themeColor="text1"/>
          <w:sz w:val="24"/>
          <w:szCs w:val="24"/>
        </w:rPr>
        <w:t>.</w:t>
      </w:r>
      <w:r w:rsidRPr="003A27B8">
        <w:rPr>
          <w:color w:val="000000" w:themeColor="text1"/>
          <w:sz w:val="24"/>
          <w:szCs w:val="24"/>
        </w:rPr>
        <w:t xml:space="preserve"> </w:t>
      </w:r>
    </w:p>
    <w:p w14:paraId="1B31EC7A" w14:textId="51C5634B" w:rsidR="00E64F8D" w:rsidRPr="003A27B8" w:rsidRDefault="003A27B8" w:rsidP="000B2CFF">
      <w:pPr>
        <w:pStyle w:val="Heading1"/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3A27B8">
        <w:rPr>
          <w:b w:val="0"/>
          <w:color w:val="000000" w:themeColor="text1"/>
          <w:sz w:val="24"/>
          <w:szCs w:val="24"/>
        </w:rPr>
        <w:t>Also,</w:t>
      </w:r>
      <w:r w:rsidR="00E64F8D" w:rsidRPr="003A27B8">
        <w:rPr>
          <w:b w:val="0"/>
          <w:color w:val="000000" w:themeColor="text1"/>
          <w:sz w:val="24"/>
          <w:szCs w:val="24"/>
        </w:rPr>
        <w:t xml:space="preserve"> varicella-zoster immunoglobulins (VZIG) may modify history of VZV infection but only when administered within72 hours after exposure</w:t>
      </w:r>
      <w:r w:rsidR="004C48A2" w:rsidRPr="003A27B8">
        <w:rPr>
          <w:color w:val="000000" w:themeColor="text1"/>
          <w:sz w:val="24"/>
          <w:szCs w:val="24"/>
        </w:rPr>
        <w:t>.</w:t>
      </w:r>
      <w:r w:rsidRPr="003A27B8">
        <w:rPr>
          <w:color w:val="000000" w:themeColor="text1"/>
          <w:sz w:val="24"/>
          <w:szCs w:val="24"/>
        </w:rPr>
        <w:t xml:space="preserve"> </w:t>
      </w:r>
      <w:r w:rsidR="004C48A2" w:rsidRPr="003A27B8">
        <w:rPr>
          <w:color w:val="000000" w:themeColor="text1"/>
          <w:sz w:val="24"/>
          <w:szCs w:val="24"/>
          <w:vertAlign w:val="superscript"/>
        </w:rPr>
        <w:t>9</w:t>
      </w:r>
      <w:r w:rsidR="00E64F8D" w:rsidRPr="003A27B8">
        <w:rPr>
          <w:color w:val="000000" w:themeColor="text1"/>
          <w:sz w:val="24"/>
          <w:szCs w:val="24"/>
        </w:rPr>
        <w:t xml:space="preserve"> </w:t>
      </w:r>
    </w:p>
    <w:p w14:paraId="6549B41F" w14:textId="77777777" w:rsidR="00E64F8D" w:rsidRPr="003A27B8" w:rsidRDefault="00E64F8D" w:rsidP="000B2C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90051E" w14:textId="77777777" w:rsidR="00E64F8D" w:rsidRPr="003A27B8" w:rsidRDefault="00E64F8D" w:rsidP="000B2C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213367" w14:textId="77777777" w:rsidR="00E64F8D" w:rsidRPr="003A27B8" w:rsidRDefault="00E64F8D" w:rsidP="000B2CFF">
      <w:pPr>
        <w:tabs>
          <w:tab w:val="left" w:pos="88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3BDD8A6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bCs/>
          <w:color w:val="000000" w:themeColor="text1"/>
        </w:rPr>
      </w:pPr>
    </w:p>
    <w:p w14:paraId="352D372A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22AA1E73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735EF399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1CB41BE9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449F7FB4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35F2EFDD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43E8B219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5105477E" w14:textId="77777777" w:rsidR="00E64F8D" w:rsidRPr="003A27B8" w:rsidRDefault="00E64F8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52948184" w14:textId="77777777" w:rsidR="004D3BC4" w:rsidRPr="003A27B8" w:rsidRDefault="004D3BC4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26398F81" w14:textId="77777777" w:rsidR="004D3BC4" w:rsidRPr="003A27B8" w:rsidRDefault="004D3BC4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09430695" w14:textId="77777777" w:rsidR="00ED110D" w:rsidRPr="003A27B8" w:rsidRDefault="00ED110D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6B6036E0" w14:textId="77777777" w:rsidR="00F166D2" w:rsidRPr="003A27B8" w:rsidRDefault="00F166D2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65262AC8" w14:textId="77777777" w:rsidR="004D3BC4" w:rsidRPr="003A27B8" w:rsidRDefault="004D3BC4" w:rsidP="000B2CFF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Legends for Figures</w:t>
      </w:r>
    </w:p>
    <w:p w14:paraId="04441ACB" w14:textId="77777777" w:rsidR="004D3BC4" w:rsidRPr="003A27B8" w:rsidRDefault="004D3BC4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Figure 1: Multiple hyperpigmented violaceous grouped papules with few showing overlying fluids filled vesicle seen on the anterior aspect of the abdomen.</w:t>
      </w:r>
    </w:p>
    <w:p w14:paraId="43C492F2" w14:textId="77777777" w:rsidR="004D3BC4" w:rsidRPr="003A27B8" w:rsidRDefault="00801A73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1</w:t>
      </w:r>
      <w:r w:rsidR="004D3BC4" w:rsidRPr="003A27B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a: Multiple hyperpigmented violaceous papules</w:t>
      </w:r>
    </w:p>
    <w:p w14:paraId="67462667" w14:textId="77777777" w:rsidR="004D3BC4" w:rsidRPr="003A27B8" w:rsidRDefault="004D3BC4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Figure 2: Single erythematous crusted plaque with scale crust seen on back with surrounding similar tiny vesicles overlying erythematous base</w:t>
      </w:r>
    </w:p>
    <w:p w14:paraId="093C2B1E" w14:textId="77777777" w:rsidR="004D3BC4" w:rsidRPr="003A27B8" w:rsidRDefault="00801A73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2</w:t>
      </w:r>
      <w:r w:rsidR="004D3BC4" w:rsidRPr="003A27B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a: </w:t>
      </w:r>
      <w:r w:rsidR="004D3BC4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Erythematous crusted plaque</w:t>
      </w:r>
    </w:p>
    <w:p w14:paraId="644ECE60" w14:textId="77777777" w:rsidR="004D3BC4" w:rsidRPr="003A27B8" w:rsidRDefault="00801A73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2</w:t>
      </w:r>
      <w:r w:rsidR="004D3BC4" w:rsidRPr="003A27B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b: </w:t>
      </w:r>
      <w:r w:rsidR="004D3BC4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Vesicle</w:t>
      </w:r>
    </w:p>
    <w:p w14:paraId="3E5026B8" w14:textId="77777777" w:rsidR="004D3BC4" w:rsidRPr="003A27B8" w:rsidRDefault="004D3BC4" w:rsidP="000B2CFF">
      <w:pPr>
        <w:spacing w:line="36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3: </w:t>
      </w:r>
      <w:r w:rsidRPr="003A27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  <w:t>Tzanck smear image showing basketweave stratum corneum with evidence of acantholytic epithelial cells with few necrotic eosinophilic cells.</w:t>
      </w:r>
    </w:p>
    <w:p w14:paraId="23EA45A0" w14:textId="77777777" w:rsidR="004D3BC4" w:rsidRPr="003A27B8" w:rsidRDefault="004D3BC4" w:rsidP="000B2CFF">
      <w:pPr>
        <w:spacing w:line="36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A27B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(Haemotoxylin and Eosin 10X)</w:t>
      </w:r>
    </w:p>
    <w:p w14:paraId="6D7DCA5D" w14:textId="77777777" w:rsidR="004D3BC4" w:rsidRPr="003A27B8" w:rsidRDefault="00801A73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  <w:t>3</w:t>
      </w:r>
      <w:r w:rsidR="004D3BC4" w:rsidRPr="003A27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  <w:t xml:space="preserve">a: </w:t>
      </w:r>
      <w:r w:rsidR="004D3BC4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Multi nucleated giant cell</w:t>
      </w:r>
    </w:p>
    <w:p w14:paraId="0DC93751" w14:textId="77777777" w:rsidR="004D3BC4" w:rsidRPr="003A27B8" w:rsidRDefault="00801A73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  <w:t>3</w:t>
      </w:r>
      <w:r w:rsidR="004D3BC4" w:rsidRPr="003A27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  <w:t xml:space="preserve">b: </w:t>
      </w:r>
      <w:r w:rsidR="004D3BC4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Necrotic epithelial cells</w:t>
      </w:r>
    </w:p>
    <w:p w14:paraId="7B5BD6B2" w14:textId="77777777" w:rsidR="004D3BC4" w:rsidRPr="003A27B8" w:rsidRDefault="004D3BC4" w:rsidP="000B2CFF">
      <w:pPr>
        <w:spacing w:line="36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A27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  <w:t xml:space="preserve">Figure 4: Tzanck smear showing the newly forming multinucleated syncytial giant cells of herpes. </w:t>
      </w:r>
      <w:r w:rsidRPr="003A27B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(Haemotoxylin and Eosin 10X)</w:t>
      </w:r>
    </w:p>
    <w:p w14:paraId="0D485451" w14:textId="77777777" w:rsidR="004D3BC4" w:rsidRPr="003A27B8" w:rsidRDefault="00801A73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  <w:t>4</w:t>
      </w:r>
      <w:r w:rsidR="004D3BC4" w:rsidRPr="003A27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en-IN"/>
        </w:rPr>
        <w:t xml:space="preserve">a: </w:t>
      </w:r>
      <w:r w:rsidR="004D3BC4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Ballooning degeneration</w:t>
      </w:r>
    </w:p>
    <w:p w14:paraId="2AD75F66" w14:textId="77777777" w:rsidR="004D3BC4" w:rsidRPr="003A27B8" w:rsidRDefault="004D3BC4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p w14:paraId="237399D5" w14:textId="77777777" w:rsidR="004D3BC4" w:rsidRPr="003A27B8" w:rsidRDefault="004D3BC4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24E148B0" w14:textId="77777777" w:rsidR="004D3BC4" w:rsidRPr="003A27B8" w:rsidRDefault="004D3BC4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71AE4646" w14:textId="77777777" w:rsidR="004D3BC4" w:rsidRPr="003A27B8" w:rsidRDefault="004D3BC4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45CAF06D" w14:textId="77777777" w:rsidR="004C48A2" w:rsidRPr="003A27B8" w:rsidRDefault="004C48A2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15766F53" w14:textId="77777777" w:rsidR="004C48A2" w:rsidRPr="003A27B8" w:rsidRDefault="004C48A2" w:rsidP="000B2CFF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</w:p>
    <w:p w14:paraId="7B9981F0" w14:textId="77777777" w:rsidR="00E64F8D" w:rsidRPr="003A27B8" w:rsidRDefault="004D3BC4" w:rsidP="0036683D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000000" w:themeColor="text1"/>
        </w:rPr>
      </w:pPr>
      <w:r w:rsidRPr="003A27B8">
        <w:rPr>
          <w:color w:val="000000" w:themeColor="text1"/>
        </w:rPr>
        <w:lastRenderedPageBreak/>
        <w:t>Reference</w:t>
      </w:r>
    </w:p>
    <w:p w14:paraId="4B1ADCA2" w14:textId="77777777" w:rsidR="000B0CB8" w:rsidRPr="003A27B8" w:rsidRDefault="000B0CB8" w:rsidP="000B0C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Krishnaram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Yamini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Sachan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 Geetha Rani. </w:t>
      </w: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Co-reactivation of varicella zoster virus and herpes simplex virus with disseminated cutaneous lesions in a lymphoma patient.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Ijdvl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2013; 79 (5); 709-711.</w:t>
      </w:r>
    </w:p>
    <w:p w14:paraId="608F03D9" w14:textId="77777777" w:rsidR="000B0CB8" w:rsidRPr="003A27B8" w:rsidRDefault="000B0CB8" w:rsidP="000B0C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2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Elizabeth Caitlin Brewer and Leigh Hunter</w:t>
      </w:r>
      <w:r w:rsidRPr="003A2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Acute Liver Failure due to Disseminated Varicella Zoster Infection.</w:t>
      </w:r>
      <w:r w:rsidRPr="003A2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Volume 2018, Article ID 1269340, 5 pages.</w:t>
      </w:r>
    </w:p>
    <w:p w14:paraId="6993833B" w14:textId="77777777" w:rsidR="000B0CB8" w:rsidRPr="003A27B8" w:rsidRDefault="000B0CB8" w:rsidP="000B0C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Park HH, Lee MH. </w:t>
      </w: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Concurrent reactivation of varicella zoster virus and herpes simplex virus in an immunocompetent child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. J Korean Med Sci 2004;19:598-60)</w:t>
      </w:r>
    </w:p>
    <w:p w14:paraId="5B1E61BF" w14:textId="77777777" w:rsidR="000B0CB8" w:rsidRPr="003A27B8" w:rsidRDefault="000B0CB8" w:rsidP="000B0C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Stephen ES, Michael NO, Kenneth ES, </w:t>
      </w: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Varicella, Herpes Zoster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Dermatology in general medicine. In: Wolff K,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Golsmith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LA, Katz SI, Gilchrest BA,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</w:t>
      </w:r>
      <w:r w:rsidR="009833AE"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ller</w:t>
      </w:r>
      <w:proofErr w:type="spellEnd"/>
      <w:r w:rsidR="009833AE"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AS, </w:t>
      </w:r>
      <w:proofErr w:type="spellStart"/>
      <w:r w:rsidR="009833AE"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Leffell</w:t>
      </w:r>
      <w:proofErr w:type="spellEnd"/>
      <w:r w:rsidR="009833AE"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DJ, editors. 7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ed. New York: McGraw Hill; 2008. p. 1885-98.</w:t>
      </w:r>
    </w:p>
    <w:p w14:paraId="3798CB22" w14:textId="77777777" w:rsidR="009B535E" w:rsidRPr="003A27B8" w:rsidRDefault="003A27B8" w:rsidP="003668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6" w:history="1">
        <w:proofErr w:type="spellStart"/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ElsamKoshy</w:t>
        </w:r>
        <w:proofErr w:type="spellEnd"/>
      </w:hyperlink>
      <w:r w:rsidR="00EF1863"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 w:rsidR="00801A73" w:rsidRPr="003A27B8">
        <w:rPr>
          <w:color w:val="000000" w:themeColor="text1"/>
        </w:rPr>
        <w:fldChar w:fldCharType="begin"/>
      </w:r>
      <w:r w:rsidR="00801A73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"http://www.ijdvl.com/searchresult.asp?search=&amp;author=Lu+Mengting&amp;journal=Y&amp;but_search=Search&amp;entries=10&amp;pg=1&amp;s=0_blank" </w:instrText>
      </w:r>
      <w:r w:rsidR="00801A73" w:rsidRPr="003A27B8">
        <w:rPr>
          <w:color w:val="000000" w:themeColor="text1"/>
        </w:rPr>
        <w:fldChar w:fldCharType="separate"/>
      </w:r>
      <w:r w:rsidR="00EF1863" w:rsidRPr="003A27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LuMengting</w:t>
      </w:r>
      <w:proofErr w:type="spellEnd"/>
      <w:r w:rsidR="00801A73" w:rsidRPr="003A27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EF1863"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 w:rsidR="00801A73" w:rsidRPr="003A27B8">
        <w:rPr>
          <w:color w:val="000000" w:themeColor="text1"/>
        </w:rPr>
        <w:fldChar w:fldCharType="begin"/>
      </w:r>
      <w:r w:rsidR="00801A73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"http://www.ijdvl.com/searchresult.asp?search=&amp;author=Hanasha+Kumar&amp;journal=Y&amp;but_search=Search&amp;entries=10&amp;pg=1&amp;s=0_blank" </w:instrText>
      </w:r>
      <w:r w:rsidR="00801A73" w:rsidRPr="003A27B8">
        <w:rPr>
          <w:color w:val="000000" w:themeColor="text1"/>
        </w:rPr>
        <w:fldChar w:fldCharType="separate"/>
      </w:r>
      <w:r w:rsidR="00EF1863" w:rsidRPr="003A27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HanashaKumar</w:t>
      </w:r>
      <w:proofErr w:type="spellEnd"/>
      <w:r w:rsidR="00801A73" w:rsidRPr="003A27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EF1863"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 w:rsidR="00801A73" w:rsidRPr="003A27B8">
        <w:rPr>
          <w:color w:val="000000" w:themeColor="text1"/>
        </w:rPr>
        <w:fldChar w:fldCharType="begin"/>
      </w:r>
      <w:r w:rsidR="00801A73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"http://www.ijdvl.com/searchresult.asp?search=&amp;author=Wu+Jianbo&amp;journal=Y&amp;but_search=Search&amp;entries=10&amp;pg=1&amp;s=0_blank" </w:instrText>
      </w:r>
      <w:r w:rsidR="00801A73" w:rsidRPr="003A27B8">
        <w:rPr>
          <w:color w:val="000000" w:themeColor="text1"/>
        </w:rPr>
        <w:fldChar w:fldCharType="separate"/>
      </w:r>
      <w:r w:rsidR="00EF1863" w:rsidRPr="003A27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WuJianbo</w:t>
      </w:r>
      <w:proofErr w:type="spellEnd"/>
      <w:r w:rsidR="00801A73" w:rsidRPr="003A27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EF1863"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F1863" w:rsidRPr="003A2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Epidemiology, Treatment and Prevention of Herpes Zoster: A Comprehensive Review. </w:t>
      </w:r>
      <w:r w:rsidR="00EF1863"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Ijdvl.2018; 84(3): 251-262.</w:t>
      </w:r>
    </w:p>
    <w:p w14:paraId="7BB59CA8" w14:textId="77777777" w:rsidR="00EF1863" w:rsidRPr="003A27B8" w:rsidRDefault="003A27B8" w:rsidP="0036683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proofErr w:type="spellStart"/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Shamimul</w:t>
        </w:r>
        <w:proofErr w:type="spellEnd"/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Hasan</w:t>
        </w:r>
      </w:hyperlink>
      <w:r w:rsidR="00EF1863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Sameer Ahmed</w:t>
        </w:r>
      </w:hyperlink>
      <w:r w:rsidR="00EF1863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Ravi Kiran</w:t>
        </w:r>
      </w:hyperlink>
      <w:r w:rsidR="00EF1863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Rajat </w:t>
        </w:r>
        <w:proofErr w:type="spellStart"/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Panigrahi</w:t>
        </w:r>
        <w:proofErr w:type="spellEnd"/>
      </w:hyperlink>
      <w:r w:rsidR="00EF1863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Joseph Mathew </w:t>
        </w:r>
        <w:proofErr w:type="spellStart"/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Thachil</w:t>
        </w:r>
        <w:proofErr w:type="spellEnd"/>
      </w:hyperlink>
      <w:r w:rsidR="00EF1863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</w:t>
      </w:r>
      <w:hyperlink r:id="rId12" w:history="1">
        <w:proofErr w:type="spellStart"/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Shazina</w:t>
        </w:r>
        <w:proofErr w:type="spellEnd"/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Saeed</w:t>
        </w:r>
      </w:hyperlink>
      <w:r w:rsidR="00EF1863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30C28" w:rsidRPr="003A2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Oral Lichen Planus a</w:t>
      </w:r>
      <w:r w:rsidR="00EF1863" w:rsidRPr="003A2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nd Associated Comorbidities</w:t>
      </w:r>
      <w:r w:rsidR="00430C28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An Approach t</w:t>
      </w:r>
      <w:r w:rsidR="00EF1863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Holistic Health. </w:t>
      </w:r>
      <w:hyperlink r:id="rId13" w:history="1">
        <w:proofErr w:type="spellStart"/>
        <w:r w:rsidR="00EF1863"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JFamilyMedPrimCare</w:t>
        </w:r>
        <w:proofErr w:type="spellEnd"/>
      </w:hyperlink>
      <w:r w:rsidR="00EF1863" w:rsidRPr="003A27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2019 Nov; 8(11): 3504–3517.</w:t>
      </w:r>
    </w:p>
    <w:p w14:paraId="0147D9E9" w14:textId="77777777" w:rsidR="009B535E" w:rsidRPr="003A27B8" w:rsidRDefault="00EF1863" w:rsidP="0036683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Hilde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Dits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Eric Frans, Alexander Wilmer, Marc Van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Ranst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Johan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Fevery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Herman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Bobbaers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Varicella-Zoster Virus Infection Associated With Acute Liver Failure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</w:rPr>
        <w:t>. Cid 1998; 27 (July).</w:t>
      </w:r>
    </w:p>
    <w:p w14:paraId="3C7F834E" w14:textId="77777777" w:rsidR="00430FED" w:rsidRPr="003A27B8" w:rsidRDefault="00430FED" w:rsidP="003668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Madkan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V,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Sra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K,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BranHey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J, Carrasco D, Mendoza N,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Tyring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SK. </w:t>
      </w: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Human herpes viruses. </w:t>
      </w:r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Dermatology. In: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Bolognia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JL,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Lorizzo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JL, 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Rpini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RP, editors. 2 </w:t>
      </w:r>
      <w:proofErr w:type="spellStart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nd</w:t>
      </w:r>
      <w:proofErr w:type="spellEnd"/>
      <w:r w:rsidRPr="003A2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ed. New Delhi: Elsevier; 2009. p. 1199-1208.</w:t>
      </w:r>
    </w:p>
    <w:p w14:paraId="02DD2201" w14:textId="77777777" w:rsidR="00E823A3" w:rsidRPr="003A27B8" w:rsidRDefault="00E823A3" w:rsidP="003668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Recommendations of the Immunization Practices Advisory Committee (ACIP) Varicella-Zoster Immune Globulin for the Prevention of Chickenpox; </w:t>
      </w:r>
      <w:hyperlink r:id="rId14" w:history="1">
        <w:r w:rsidRPr="003A27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https://www.cdc.gov/mmwr/preview/mmwrhtml/00022690.htm</w:t>
        </w:r>
      </w:hyperlink>
    </w:p>
    <w:p w14:paraId="786E370F" w14:textId="77777777" w:rsidR="009B535E" w:rsidRPr="003A27B8" w:rsidRDefault="009B535E" w:rsidP="0036683D">
      <w:pPr>
        <w:pStyle w:val="ListParagraph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7432B38" w14:textId="77777777" w:rsidR="008F5C7E" w:rsidRPr="003A27B8" w:rsidRDefault="008F5C7E" w:rsidP="008F5C7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6DDDBFC" w14:textId="77777777" w:rsidR="00430FED" w:rsidRPr="003A27B8" w:rsidRDefault="00430FED" w:rsidP="000B2CF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0FED" w:rsidRPr="003A27B8" w:rsidSect="009833AE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Malgun Gothic"/>
    <w:charset w:val="8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C37"/>
    <w:multiLevelType w:val="hybridMultilevel"/>
    <w:tmpl w:val="E3885FD6"/>
    <w:lvl w:ilvl="0" w:tplc="D5B4D7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51B16"/>
    <w:multiLevelType w:val="multilevel"/>
    <w:tmpl w:val="9D7A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E3816"/>
    <w:multiLevelType w:val="hybridMultilevel"/>
    <w:tmpl w:val="ACBA1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0004"/>
    <w:multiLevelType w:val="hybridMultilevel"/>
    <w:tmpl w:val="1F000D71"/>
    <w:lvl w:ilvl="0" w:tplc="51A6A0F6">
      <w:start w:val="1"/>
      <w:numFmt w:val="decimalHalfWidth"/>
      <w:lvlText w:val="%1."/>
      <w:lvlJc w:val="left"/>
      <w:pPr>
        <w:ind w:left="800" w:hanging="400"/>
      </w:pPr>
    </w:lvl>
    <w:lvl w:ilvl="1" w:tplc="6ACA1E54">
      <w:start w:val="1"/>
      <w:numFmt w:val="upperLetter"/>
      <w:lvlText w:val="%2."/>
      <w:lvlJc w:val="left"/>
      <w:pPr>
        <w:ind w:left="1200" w:hanging="400"/>
      </w:pPr>
    </w:lvl>
    <w:lvl w:ilvl="2" w:tplc="C3F654FA">
      <w:start w:val="1"/>
      <w:numFmt w:val="lowerRoman"/>
      <w:lvlText w:val="%3."/>
      <w:lvlJc w:val="left"/>
      <w:pPr>
        <w:ind w:left="1600" w:hanging="400"/>
      </w:pPr>
    </w:lvl>
    <w:lvl w:ilvl="3" w:tplc="4E40468E">
      <w:start w:val="1"/>
      <w:numFmt w:val="decimalHalfWidth"/>
      <w:lvlText w:val="%4."/>
      <w:lvlJc w:val="left"/>
      <w:pPr>
        <w:ind w:left="2000" w:hanging="400"/>
      </w:pPr>
    </w:lvl>
    <w:lvl w:ilvl="4" w:tplc="3CF63B80">
      <w:start w:val="1"/>
      <w:numFmt w:val="upperLetter"/>
      <w:lvlText w:val="%5."/>
      <w:lvlJc w:val="left"/>
      <w:pPr>
        <w:ind w:left="2400" w:hanging="400"/>
      </w:pPr>
    </w:lvl>
    <w:lvl w:ilvl="5" w:tplc="F162D024">
      <w:start w:val="1"/>
      <w:numFmt w:val="lowerRoman"/>
      <w:lvlText w:val="%6."/>
      <w:lvlJc w:val="left"/>
      <w:pPr>
        <w:ind w:left="2800" w:hanging="400"/>
      </w:pPr>
    </w:lvl>
    <w:lvl w:ilvl="6" w:tplc="82C41B2A">
      <w:start w:val="1"/>
      <w:numFmt w:val="decimalHalfWidth"/>
      <w:lvlText w:val="%7."/>
      <w:lvlJc w:val="left"/>
      <w:pPr>
        <w:ind w:left="3200" w:hanging="400"/>
      </w:pPr>
    </w:lvl>
    <w:lvl w:ilvl="7" w:tplc="7878FD2A">
      <w:start w:val="1"/>
      <w:numFmt w:val="upperLetter"/>
      <w:lvlText w:val="%8."/>
      <w:lvlJc w:val="left"/>
      <w:pPr>
        <w:ind w:left="3600" w:hanging="400"/>
      </w:pPr>
    </w:lvl>
    <w:lvl w:ilvl="8" w:tplc="EC6437BC">
      <w:start w:val="1"/>
      <w:numFmt w:val="lowerRoman"/>
      <w:lvlText w:val="%9."/>
      <w:lvlJc w:val="left"/>
      <w:pPr>
        <w:ind w:left="4000" w:hanging="400"/>
      </w:pPr>
    </w:lvl>
  </w:abstractNum>
  <w:abstractNum w:abstractNumId="4" w15:restartNumberingAfterBreak="0">
    <w:nsid w:val="6CCD46C3"/>
    <w:multiLevelType w:val="hybridMultilevel"/>
    <w:tmpl w:val="AEB26152"/>
    <w:lvl w:ilvl="0" w:tplc="C3D0A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C7F01"/>
    <w:multiLevelType w:val="hybridMultilevel"/>
    <w:tmpl w:val="4C28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8D"/>
    <w:rsid w:val="0002531C"/>
    <w:rsid w:val="00026A8E"/>
    <w:rsid w:val="000924C5"/>
    <w:rsid w:val="000B0CB8"/>
    <w:rsid w:val="000B2CFF"/>
    <w:rsid w:val="002E5206"/>
    <w:rsid w:val="0036683D"/>
    <w:rsid w:val="003A27B8"/>
    <w:rsid w:val="003A7F4A"/>
    <w:rsid w:val="00430C28"/>
    <w:rsid w:val="00430FED"/>
    <w:rsid w:val="00462851"/>
    <w:rsid w:val="00484656"/>
    <w:rsid w:val="004C48A2"/>
    <w:rsid w:val="004D3BC4"/>
    <w:rsid w:val="007815D7"/>
    <w:rsid w:val="00801A73"/>
    <w:rsid w:val="00845774"/>
    <w:rsid w:val="008C02AB"/>
    <w:rsid w:val="008F5C7E"/>
    <w:rsid w:val="009833AE"/>
    <w:rsid w:val="009B535E"/>
    <w:rsid w:val="00A23FD5"/>
    <w:rsid w:val="00A61CFE"/>
    <w:rsid w:val="00B22CEC"/>
    <w:rsid w:val="00B531A2"/>
    <w:rsid w:val="00C02BE5"/>
    <w:rsid w:val="00D2702F"/>
    <w:rsid w:val="00E041F7"/>
    <w:rsid w:val="00E3447E"/>
    <w:rsid w:val="00E64F8D"/>
    <w:rsid w:val="00E823A3"/>
    <w:rsid w:val="00ED110D"/>
    <w:rsid w:val="00EF1863"/>
    <w:rsid w:val="00F166D2"/>
    <w:rsid w:val="00F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552A"/>
  <w15:chartTrackingRefBased/>
  <w15:docId w15:val="{17FA4D63-DC8B-4197-9FD4-0233F120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8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7"/>
    <w:qFormat/>
    <w:rsid w:val="00E64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E64F8D"/>
    <w:rPr>
      <w:rFonts w:ascii="Times New Roman" w:eastAsia="Times New Roman" w:hAnsi="Times New Roman" w:cs="Times New Roman"/>
      <w:b/>
      <w:sz w:val="48"/>
      <w:szCs w:val="48"/>
      <w:lang w:val="en-IN" w:eastAsia="en-IN"/>
    </w:rPr>
  </w:style>
  <w:style w:type="paragraph" w:customStyle="1" w:styleId="Normal1">
    <w:name w:val="Normal1"/>
    <w:rsid w:val="00E64F8D"/>
    <w:pPr>
      <w:jc w:val="both"/>
    </w:pPr>
    <w:rPr>
      <w:rFonts w:ascii="Quattrocento Sans" w:eastAsia="Quattrocento Sans" w:hAnsi="Quattrocento Sans" w:cs="Quattrocento Sans"/>
      <w:sz w:val="20"/>
      <w:szCs w:val="20"/>
    </w:rPr>
  </w:style>
  <w:style w:type="paragraph" w:styleId="NormalWeb">
    <w:name w:val="Normal (Web)"/>
    <w:basedOn w:val="Normal"/>
    <w:uiPriority w:val="99"/>
    <w:unhideWhenUsed/>
    <w:rsid w:val="00E6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4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F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02AB"/>
    <w:rPr>
      <w:b/>
      <w:bCs/>
    </w:rPr>
  </w:style>
  <w:style w:type="paragraph" w:customStyle="1" w:styleId="Default">
    <w:name w:val="Default"/>
    <w:rsid w:val="00D270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Ahmed%20S%5BAuthor%5D&amp;cauthor=true&amp;cauthor_uid=31803644" TargetMode="External"/><Relationship Id="rId13" Type="http://schemas.openxmlformats.org/officeDocument/2006/relationships/hyperlink" Target="https://www.ncbi.nlm.nih.gov/pmc/articles/PMC68819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Hasan%20S%5BAuthor%5D&amp;cauthor=true&amp;cauthor_uid=31803644" TargetMode="External"/><Relationship Id="rId12" Type="http://schemas.openxmlformats.org/officeDocument/2006/relationships/hyperlink" Target="https://www.ncbi.nlm.nih.gov/pubmed/?term=Saeed%20S%5BAuthor%5D&amp;cauthor=true&amp;cauthor_uid=318036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jdvl.com/searchresult.asp?search=&amp;author=Elsam+Koshy&amp;journal=Y&amp;but_search=Search&amp;entries=10&amp;pg=1&amp;s=0_blank" TargetMode="External"/><Relationship Id="rId11" Type="http://schemas.openxmlformats.org/officeDocument/2006/relationships/hyperlink" Target="https://www.ncbi.nlm.nih.gov/pubmed/?term=Thachil%20JM%5BAuthor%5D&amp;cauthor=true&amp;cauthor_uid=31803644" TargetMode="External"/><Relationship Id="rId5" Type="http://schemas.openxmlformats.org/officeDocument/2006/relationships/hyperlink" Target="mailto:malkanipub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Panigrahi%20R%5BAuthor%5D&amp;cauthor=true&amp;cauthor_uid=31803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Kiran%20R%5BAuthor%5D&amp;cauthor=true&amp;cauthor_uid=31803644" TargetMode="External"/><Relationship Id="rId14" Type="http://schemas.openxmlformats.org/officeDocument/2006/relationships/hyperlink" Target="https://www.cdc.gov/mmwr/preview/mmwrhtml/0002269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SUMAN KARMAKAR</cp:lastModifiedBy>
  <cp:revision>11</cp:revision>
  <dcterms:created xsi:type="dcterms:W3CDTF">2020-09-15T08:07:00Z</dcterms:created>
  <dcterms:modified xsi:type="dcterms:W3CDTF">2021-02-02T09:31:00Z</dcterms:modified>
</cp:coreProperties>
</file>